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D287" w14:textId="77777777" w:rsidR="009526E4" w:rsidRPr="004A45C3" w:rsidRDefault="009526E4" w:rsidP="009526E4">
      <w:pPr>
        <w:pStyle w:val="Heading1-nonumber"/>
        <w:spacing w:before="120" w:after="120"/>
        <w:jc w:val="center"/>
        <w:rPr>
          <w:rFonts w:ascii="Din" w:hAnsi="Din" w:cs="Segoe UI"/>
          <w:sz w:val="22"/>
          <w:szCs w:val="22"/>
        </w:rPr>
      </w:pPr>
      <w:bookmarkStart w:id="0" w:name="_Toc227678851"/>
      <w:bookmarkStart w:id="1" w:name="_Toc228807058"/>
      <w:r w:rsidRPr="004A45C3">
        <w:rPr>
          <w:rFonts w:ascii="Din" w:hAnsi="Din" w:cs="Segoe UI"/>
          <w:sz w:val="22"/>
          <w:szCs w:val="22"/>
        </w:rPr>
        <w:t>FORM F</w:t>
      </w:r>
      <w:bookmarkEnd w:id="0"/>
      <w:bookmarkEnd w:id="1"/>
    </w:p>
    <w:p w14:paraId="264142B6" w14:textId="77777777" w:rsidR="009526E4" w:rsidRPr="004A45C3" w:rsidRDefault="009526E4" w:rsidP="009526E4">
      <w:pPr>
        <w:pStyle w:val="Heading1-nonumber"/>
        <w:spacing w:before="120" w:after="120"/>
        <w:jc w:val="center"/>
        <w:rPr>
          <w:rFonts w:ascii="Din" w:hAnsi="Din" w:cs="Segoe UI"/>
          <w:sz w:val="22"/>
          <w:szCs w:val="22"/>
        </w:rPr>
      </w:pPr>
      <w:bookmarkStart w:id="2" w:name="_Toc227678852"/>
      <w:bookmarkStart w:id="3" w:name="_Toc228807059"/>
      <w:r w:rsidRPr="004A45C3">
        <w:rPr>
          <w:rFonts w:ascii="Din" w:hAnsi="Din" w:cs="Segoe UI"/>
          <w:sz w:val="22"/>
          <w:szCs w:val="22"/>
        </w:rPr>
        <w:t>EQUITY MEMBER TRACK RECORD</w:t>
      </w:r>
      <w:bookmarkEnd w:id="2"/>
      <w:bookmarkEnd w:id="3"/>
    </w:p>
    <w:tbl>
      <w:tblPr>
        <w:tblW w:w="5000" w:type="pct"/>
        <w:tblCellMar>
          <w:left w:w="43" w:type="dxa"/>
          <w:right w:w="43" w:type="dxa"/>
        </w:tblCellMar>
        <w:tblLook w:val="04A0" w:firstRow="1" w:lastRow="0" w:firstColumn="1" w:lastColumn="0" w:noHBand="0" w:noVBand="1"/>
      </w:tblPr>
      <w:tblGrid>
        <w:gridCol w:w="2927"/>
        <w:gridCol w:w="3195"/>
        <w:gridCol w:w="2760"/>
        <w:gridCol w:w="2760"/>
        <w:gridCol w:w="2748"/>
      </w:tblGrid>
      <w:tr w:rsidR="009526E4" w:rsidRPr="004A45C3" w14:paraId="52F87F69" w14:textId="77777777" w:rsidTr="00A042AD">
        <w:tc>
          <w:tcPr>
            <w:tcW w:w="1017" w:type="pct"/>
            <w:vMerge w:val="restart"/>
            <w:tcBorders>
              <w:top w:val="single" w:sz="4" w:space="0" w:color="auto"/>
              <w:left w:val="single" w:sz="4" w:space="0" w:color="auto"/>
              <w:bottom w:val="single" w:sz="4" w:space="0" w:color="auto"/>
              <w:right w:val="single" w:sz="4" w:space="0" w:color="auto"/>
            </w:tcBorders>
          </w:tcPr>
          <w:p w14:paraId="30A90667" w14:textId="77777777" w:rsidR="009526E4" w:rsidRPr="004A45C3" w:rsidRDefault="009526E4" w:rsidP="00A042AD">
            <w:pPr>
              <w:spacing w:before="240" w:line="254" w:lineRule="auto"/>
              <w:jc w:val="center"/>
              <w:rPr>
                <w:rFonts w:ascii="Din" w:hAnsi="Din" w:cs="Segoe UI"/>
                <w:b/>
                <w:bCs/>
                <w:color w:val="000000"/>
                <w:spacing w:val="3"/>
                <w:kern w:val="2"/>
                <w:sz w:val="22"/>
                <w:szCs w:val="22"/>
                <w14:ligatures w14:val="standardContextual"/>
              </w:rPr>
            </w:pPr>
          </w:p>
        </w:tc>
        <w:tc>
          <w:tcPr>
            <w:tcW w:w="2069"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F675F6E" w14:textId="77777777" w:rsidR="009526E4" w:rsidRPr="00C461DA" w:rsidRDefault="009526E4" w:rsidP="00A042AD">
            <w:pPr>
              <w:spacing w:before="240"/>
              <w:jc w:val="center"/>
              <w:rPr>
                <w:rFonts w:ascii="Din" w:hAnsi="Din"/>
                <w:b/>
                <w:bCs/>
                <w:sz w:val="20"/>
                <w:szCs w:val="20"/>
              </w:rPr>
            </w:pPr>
            <w:r w:rsidRPr="00C461DA">
              <w:rPr>
                <w:rFonts w:ascii="Din" w:hAnsi="Din"/>
                <w:b/>
                <w:bCs/>
                <w:sz w:val="20"/>
                <w:szCs w:val="20"/>
              </w:rPr>
              <w:t>NORTH AMERICAN PROCUREMENTS IN THE PAST 5 YEARS</w:t>
            </w:r>
          </w:p>
        </w:tc>
        <w:tc>
          <w:tcPr>
            <w:tcW w:w="959" w:type="pct"/>
            <w:tcBorders>
              <w:top w:val="single" w:sz="4" w:space="0" w:color="auto"/>
              <w:left w:val="single" w:sz="4" w:space="0" w:color="auto"/>
              <w:bottom w:val="single" w:sz="4" w:space="0" w:color="auto"/>
              <w:right w:val="single" w:sz="4" w:space="0" w:color="auto"/>
            </w:tcBorders>
            <w:shd w:val="clear" w:color="auto" w:fill="D9D9D9"/>
            <w:hideMark/>
          </w:tcPr>
          <w:p w14:paraId="1BC4D9C7" w14:textId="77777777" w:rsidR="009526E4" w:rsidRPr="004A45C3" w:rsidRDefault="009526E4" w:rsidP="00A042AD">
            <w:pPr>
              <w:spacing w:before="240"/>
              <w:jc w:val="center"/>
              <w:rPr>
                <w:rFonts w:ascii="Din" w:hAnsi="Din" w:cs="Segoe UI"/>
                <w:b/>
                <w:bCs/>
                <w:color w:val="000000"/>
                <w:spacing w:val="-2"/>
                <w:kern w:val="2"/>
                <w:sz w:val="20"/>
                <w:szCs w:val="20"/>
                <w14:ligatures w14:val="standardContextual"/>
              </w:rPr>
            </w:pPr>
            <w:r w:rsidRPr="004A45C3">
              <w:rPr>
                <w:rFonts w:ascii="Din" w:hAnsi="Din" w:cs="Segoe UI"/>
                <w:b/>
                <w:bCs/>
                <w:color w:val="000000"/>
                <w:kern w:val="2"/>
                <w:sz w:val="20"/>
                <w:szCs w:val="20"/>
                <w14:ligatures w14:val="standardContextual"/>
              </w:rPr>
              <w:t>GLOBAL PORTFOLIO OF INVESTMENTS IN PROJECTS WITH PUBLIC OWNERS IN PAST 5 YEARS</w:t>
            </w:r>
          </w:p>
        </w:tc>
        <w:tc>
          <w:tcPr>
            <w:tcW w:w="955" w:type="pct"/>
            <w:tcBorders>
              <w:top w:val="single" w:sz="4" w:space="0" w:color="auto"/>
              <w:left w:val="single" w:sz="4" w:space="0" w:color="auto"/>
              <w:bottom w:val="single" w:sz="4" w:space="0" w:color="auto"/>
              <w:right w:val="single" w:sz="4" w:space="0" w:color="auto"/>
            </w:tcBorders>
            <w:shd w:val="clear" w:color="auto" w:fill="D9D9D9"/>
            <w:hideMark/>
          </w:tcPr>
          <w:p w14:paraId="69E36076" w14:textId="77777777" w:rsidR="009526E4" w:rsidRPr="004A45C3" w:rsidRDefault="009526E4" w:rsidP="00A042AD">
            <w:pPr>
              <w:spacing w:before="240"/>
              <w:jc w:val="center"/>
              <w:rPr>
                <w:rFonts w:ascii="Din" w:hAnsi="Din" w:cs="Segoe UI"/>
                <w:b/>
                <w:bCs/>
                <w:color w:val="000000"/>
                <w:spacing w:val="1"/>
                <w:kern w:val="2"/>
                <w:sz w:val="20"/>
                <w:szCs w:val="20"/>
                <w14:ligatures w14:val="standardContextual"/>
              </w:rPr>
            </w:pPr>
            <w:r w:rsidRPr="004A45C3">
              <w:rPr>
                <w:rFonts w:ascii="Din" w:hAnsi="Din" w:cs="Segoe UI"/>
                <w:b/>
                <w:bCs/>
                <w:color w:val="000000"/>
                <w:spacing w:val="1"/>
                <w:kern w:val="2"/>
                <w:sz w:val="20"/>
                <w:szCs w:val="20"/>
                <w14:ligatures w14:val="standardContextual"/>
              </w:rPr>
              <w:t>IDENTIFICATION &amp; EXPLANATION OF CHANGES IN EQUITY PARTICIPATION</w:t>
            </w:r>
          </w:p>
        </w:tc>
      </w:tr>
      <w:tr w:rsidR="009526E4" w:rsidRPr="004A45C3" w14:paraId="7DA5E3E9" w14:textId="77777777" w:rsidTr="00A042AD">
        <w:tc>
          <w:tcPr>
            <w:tcW w:w="0" w:type="auto"/>
            <w:vMerge/>
            <w:tcBorders>
              <w:top w:val="single" w:sz="4" w:space="0" w:color="auto"/>
              <w:left w:val="single" w:sz="4" w:space="0" w:color="auto"/>
              <w:bottom w:val="single" w:sz="4" w:space="0" w:color="auto"/>
              <w:right w:val="single" w:sz="4" w:space="0" w:color="auto"/>
            </w:tcBorders>
            <w:vAlign w:val="center"/>
            <w:hideMark/>
          </w:tcPr>
          <w:p w14:paraId="223CB23E" w14:textId="77777777" w:rsidR="009526E4" w:rsidRPr="004A45C3" w:rsidRDefault="009526E4" w:rsidP="00A042AD">
            <w:pPr>
              <w:spacing w:before="120" w:after="120" w:line="256" w:lineRule="auto"/>
              <w:rPr>
                <w:rFonts w:ascii="Din" w:hAnsi="Din" w:cs="Segoe UI"/>
                <w:b/>
                <w:bCs/>
                <w:color w:val="000000"/>
                <w:spacing w:val="3"/>
                <w:kern w:val="2"/>
                <w:sz w:val="22"/>
                <w:szCs w:val="22"/>
                <w14:ligatures w14:val="standardContextual"/>
              </w:rPr>
            </w:pPr>
          </w:p>
        </w:tc>
        <w:tc>
          <w:tcPr>
            <w:tcW w:w="1110" w:type="pct"/>
            <w:tcBorders>
              <w:top w:val="single" w:sz="4" w:space="0" w:color="auto"/>
              <w:left w:val="single" w:sz="4" w:space="0" w:color="auto"/>
              <w:bottom w:val="single" w:sz="4" w:space="0" w:color="auto"/>
              <w:right w:val="single" w:sz="4" w:space="0" w:color="auto"/>
            </w:tcBorders>
            <w:shd w:val="clear" w:color="auto" w:fill="D9D9D9"/>
            <w:hideMark/>
          </w:tcPr>
          <w:p w14:paraId="0D8EB8DD" w14:textId="77777777" w:rsidR="009526E4"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(i) How many times was the Equity Member short-listed in a public-sector procurement involving private financing, or otherwise invited to submit a proposal (individually or as a member of a team), for a North American project involving more than $200 million of capital works? </w:t>
            </w:r>
          </w:p>
          <w:p w14:paraId="37569C93" w14:textId="77777777" w:rsidR="009526E4" w:rsidRPr="004A45C3" w:rsidRDefault="009526E4" w:rsidP="00A042AD">
            <w:pPr>
              <w:pStyle w:val="Default"/>
              <w:spacing w:before="120" w:after="120" w:line="256" w:lineRule="auto"/>
              <w:rPr>
                <w:rFonts w:ascii="Din" w:hAnsi="Din"/>
                <w:sz w:val="20"/>
                <w:szCs w:val="20"/>
              </w:rPr>
            </w:pPr>
          </w:p>
        </w:tc>
        <w:tc>
          <w:tcPr>
            <w:tcW w:w="959" w:type="pct"/>
            <w:tcBorders>
              <w:top w:val="single" w:sz="4" w:space="0" w:color="auto"/>
              <w:left w:val="single" w:sz="4" w:space="0" w:color="auto"/>
              <w:bottom w:val="single" w:sz="4" w:space="0" w:color="auto"/>
              <w:right w:val="single" w:sz="4" w:space="0" w:color="auto"/>
            </w:tcBorders>
            <w:shd w:val="clear" w:color="auto" w:fill="D9D9D9"/>
          </w:tcPr>
          <w:p w14:paraId="10C18647" w14:textId="77777777" w:rsidR="009526E4" w:rsidRPr="004A45C3"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(ii) With respect to those procurements cited in (i): </w:t>
            </w:r>
          </w:p>
          <w:p w14:paraId="6B490138" w14:textId="77777777" w:rsidR="009526E4" w:rsidRPr="004A45C3" w:rsidRDefault="009526E4" w:rsidP="00A042AD">
            <w:pPr>
              <w:pStyle w:val="Default"/>
              <w:spacing w:before="120" w:after="120" w:line="256" w:lineRule="auto"/>
              <w:rPr>
                <w:rFonts w:ascii="Din" w:hAnsi="Din"/>
                <w:sz w:val="20"/>
                <w:szCs w:val="20"/>
              </w:rPr>
            </w:pPr>
          </w:p>
          <w:p w14:paraId="6AC0C0B8" w14:textId="77777777" w:rsidR="009526E4" w:rsidRPr="004A45C3"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(1) How many have not yet required final proposals to be submitted? </w:t>
            </w:r>
          </w:p>
          <w:p w14:paraId="7FAE4AF3" w14:textId="77777777" w:rsidR="009526E4" w:rsidRPr="004A45C3"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(2) How many times has the Equity Member (individually or as a member of a team) submitted a compliant, final proposal as an Equity Member? </w:t>
            </w:r>
          </w:p>
          <w:p w14:paraId="5C7E52FF" w14:textId="77777777" w:rsidR="009526E4" w:rsidRPr="004A45C3" w:rsidRDefault="009526E4" w:rsidP="00A042AD">
            <w:pPr>
              <w:spacing w:before="120" w:after="120" w:line="254" w:lineRule="auto"/>
              <w:rPr>
                <w:rFonts w:ascii="Din" w:hAnsi="Din" w:cs="Segoe UI"/>
                <w:b/>
                <w:bCs/>
                <w:color w:val="000000"/>
                <w:kern w:val="2"/>
                <w:sz w:val="20"/>
                <w:szCs w:val="20"/>
                <w14:ligatures w14:val="standardContextual"/>
              </w:rPr>
            </w:pPr>
          </w:p>
        </w:tc>
        <w:tc>
          <w:tcPr>
            <w:tcW w:w="959" w:type="pct"/>
            <w:tcBorders>
              <w:top w:val="single" w:sz="4" w:space="0" w:color="auto"/>
              <w:left w:val="single" w:sz="4" w:space="0" w:color="auto"/>
              <w:bottom w:val="single" w:sz="4" w:space="0" w:color="auto"/>
              <w:right w:val="single" w:sz="4" w:space="0" w:color="auto"/>
            </w:tcBorders>
            <w:shd w:val="clear" w:color="auto" w:fill="D9D9D9"/>
          </w:tcPr>
          <w:p w14:paraId="7542F140" w14:textId="77777777" w:rsidR="009526E4" w:rsidRPr="004A45C3"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(iii) How many </w:t>
            </w:r>
            <w:proofErr w:type="gramStart"/>
            <w:r w:rsidRPr="004A45C3">
              <w:rPr>
                <w:rFonts w:ascii="Din" w:hAnsi="Din"/>
                <w:sz w:val="20"/>
                <w:szCs w:val="20"/>
              </w:rPr>
              <w:t>times</w:t>
            </w:r>
            <w:proofErr w:type="gramEnd"/>
            <w:r w:rsidRPr="004A45C3">
              <w:rPr>
                <w:rFonts w:ascii="Din" w:hAnsi="Din"/>
                <w:sz w:val="20"/>
                <w:szCs w:val="20"/>
              </w:rPr>
              <w:t xml:space="preserve"> the Equity Member was an equity investor in projects at the time of financial close? Please only include projects with public sector </w:t>
            </w:r>
            <w:proofErr w:type="gramStart"/>
            <w:r w:rsidRPr="004A45C3">
              <w:rPr>
                <w:rFonts w:ascii="Din" w:hAnsi="Din"/>
                <w:sz w:val="20"/>
                <w:szCs w:val="20"/>
              </w:rPr>
              <w:t>owners and</w:t>
            </w:r>
            <w:proofErr w:type="gramEnd"/>
            <w:r w:rsidRPr="004A45C3">
              <w:rPr>
                <w:rFonts w:ascii="Din" w:hAnsi="Din"/>
                <w:sz w:val="20"/>
                <w:szCs w:val="20"/>
              </w:rPr>
              <w:t xml:space="preserve"> that involved more than $200 million of capital works. </w:t>
            </w:r>
          </w:p>
          <w:p w14:paraId="242E24AE" w14:textId="77777777" w:rsidR="009526E4" w:rsidRPr="004A45C3" w:rsidRDefault="009526E4" w:rsidP="00A042AD">
            <w:pPr>
              <w:spacing w:before="120" w:after="120" w:line="254" w:lineRule="auto"/>
              <w:rPr>
                <w:rFonts w:ascii="Din" w:hAnsi="Din" w:cs="Segoe UI"/>
                <w:b/>
                <w:bCs/>
                <w:color w:val="000000"/>
                <w:kern w:val="2"/>
                <w:sz w:val="20"/>
                <w:szCs w:val="20"/>
                <w14:ligatures w14:val="standardContextual"/>
              </w:rPr>
            </w:pPr>
          </w:p>
        </w:tc>
        <w:tc>
          <w:tcPr>
            <w:tcW w:w="955" w:type="pct"/>
            <w:tcBorders>
              <w:top w:val="single" w:sz="4" w:space="0" w:color="auto"/>
              <w:left w:val="single" w:sz="4" w:space="0" w:color="auto"/>
              <w:bottom w:val="single" w:sz="4" w:space="0" w:color="auto"/>
              <w:right w:val="single" w:sz="4" w:space="0" w:color="auto"/>
            </w:tcBorders>
            <w:shd w:val="clear" w:color="auto" w:fill="D9D9D9"/>
            <w:hideMark/>
          </w:tcPr>
          <w:p w14:paraId="1941E794" w14:textId="77777777" w:rsidR="009526E4" w:rsidRPr="004A45C3"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(iv) Identify the project name and public-sector owner of those procurements cited in (i) but not in (ii). </w:t>
            </w:r>
          </w:p>
          <w:p w14:paraId="105DCD5E" w14:textId="77777777" w:rsidR="009526E4" w:rsidRPr="004A45C3" w:rsidRDefault="009526E4" w:rsidP="00A042AD">
            <w:pPr>
              <w:pStyle w:val="Default"/>
              <w:spacing w:before="120" w:after="120" w:line="256" w:lineRule="auto"/>
              <w:rPr>
                <w:rFonts w:ascii="Din" w:hAnsi="Din"/>
                <w:sz w:val="20"/>
                <w:szCs w:val="20"/>
              </w:rPr>
            </w:pPr>
            <w:r w:rsidRPr="004A45C3">
              <w:rPr>
                <w:rFonts w:ascii="Din" w:hAnsi="Din"/>
                <w:sz w:val="20"/>
                <w:szCs w:val="20"/>
              </w:rPr>
              <w:t xml:space="preserve">Provide a </w:t>
            </w:r>
            <w:proofErr w:type="gramStart"/>
            <w:r w:rsidRPr="004A45C3">
              <w:rPr>
                <w:rFonts w:ascii="Din" w:hAnsi="Din"/>
                <w:sz w:val="20"/>
                <w:szCs w:val="20"/>
              </w:rPr>
              <w:t>brief,</w:t>
            </w:r>
            <w:proofErr w:type="gramEnd"/>
            <w:r w:rsidRPr="004A45C3">
              <w:rPr>
                <w:rFonts w:ascii="Din" w:hAnsi="Din"/>
                <w:sz w:val="20"/>
                <w:szCs w:val="20"/>
              </w:rPr>
              <w:t xml:space="preserve"> explanation for not submitting a compliant final proposal or for not remaining as an equity investor in a team that submitted a compliant final proposal (as applicable). </w:t>
            </w:r>
          </w:p>
          <w:p w14:paraId="799C5641" w14:textId="77777777" w:rsidR="009526E4" w:rsidRPr="004A45C3" w:rsidRDefault="009526E4" w:rsidP="00A042AD">
            <w:pPr>
              <w:spacing w:before="120" w:after="120" w:line="254" w:lineRule="auto"/>
              <w:rPr>
                <w:rFonts w:ascii="Din" w:hAnsi="Din" w:cs="Segoe UI"/>
                <w:b/>
                <w:bCs/>
                <w:color w:val="000000"/>
                <w:spacing w:val="1"/>
                <w:kern w:val="2"/>
                <w:sz w:val="20"/>
                <w:szCs w:val="20"/>
                <w14:ligatures w14:val="standardContextual"/>
              </w:rPr>
            </w:pPr>
            <w:r w:rsidRPr="004A45C3">
              <w:rPr>
                <w:rFonts w:ascii="Din" w:eastAsiaTheme="minorHAnsi" w:hAnsi="Din"/>
                <w:color w:val="000000"/>
                <w:sz w:val="20"/>
                <w:szCs w:val="20"/>
                <w:lang w:eastAsia="en-US"/>
              </w:rPr>
              <w:t xml:space="preserve">Explanations may be attached </w:t>
            </w:r>
            <w:proofErr w:type="gramStart"/>
            <w:r w:rsidRPr="004A45C3">
              <w:rPr>
                <w:rFonts w:ascii="Din" w:eastAsiaTheme="minorHAnsi" w:hAnsi="Din"/>
                <w:color w:val="000000"/>
                <w:sz w:val="20"/>
                <w:szCs w:val="20"/>
                <w:lang w:eastAsia="en-US"/>
              </w:rPr>
              <w:t>in</w:t>
            </w:r>
            <w:proofErr w:type="gramEnd"/>
            <w:r w:rsidRPr="004A45C3">
              <w:rPr>
                <w:rFonts w:ascii="Din" w:eastAsiaTheme="minorHAnsi" w:hAnsi="Din"/>
                <w:color w:val="000000"/>
                <w:sz w:val="20"/>
                <w:szCs w:val="20"/>
                <w:lang w:eastAsia="en-US"/>
              </w:rPr>
              <w:t xml:space="preserve"> a separate sheet if necessary.</w:t>
            </w:r>
            <w:r w:rsidRPr="004A45C3">
              <w:rPr>
                <w:rFonts w:ascii="Din" w:hAnsi="Din"/>
                <w:sz w:val="20"/>
                <w:szCs w:val="20"/>
              </w:rPr>
              <w:t xml:space="preserve"> </w:t>
            </w:r>
          </w:p>
        </w:tc>
      </w:tr>
      <w:tr w:rsidR="009526E4" w:rsidRPr="004A45C3" w14:paraId="54FCD5C0" w14:textId="77777777" w:rsidTr="00A042AD">
        <w:tc>
          <w:tcPr>
            <w:tcW w:w="1017" w:type="pct"/>
            <w:tcBorders>
              <w:top w:val="single" w:sz="4" w:space="0" w:color="auto"/>
              <w:left w:val="single" w:sz="4" w:space="0" w:color="auto"/>
              <w:bottom w:val="single" w:sz="4" w:space="0" w:color="auto"/>
              <w:right w:val="single" w:sz="4" w:space="0" w:color="auto"/>
            </w:tcBorders>
            <w:hideMark/>
          </w:tcPr>
          <w:p w14:paraId="60255BDA" w14:textId="77777777" w:rsidR="009526E4" w:rsidRPr="00C461DA" w:rsidRDefault="009526E4" w:rsidP="00A042AD">
            <w:pPr>
              <w:spacing w:before="120" w:after="120" w:line="254" w:lineRule="auto"/>
              <w:rPr>
                <w:rFonts w:ascii="Din" w:hAnsi="Din" w:cs="Segoe UI"/>
                <w:b/>
                <w:bCs/>
                <w:kern w:val="2"/>
                <w:sz w:val="20"/>
                <w:szCs w:val="20"/>
                <w14:ligatures w14:val="standardContextual"/>
              </w:rPr>
            </w:pPr>
            <w:r w:rsidRPr="00C461DA">
              <w:rPr>
                <w:rFonts w:ascii="Din" w:hAnsi="Din"/>
                <w:b/>
                <w:bCs/>
                <w:sz w:val="20"/>
                <w:szCs w:val="20"/>
              </w:rPr>
              <w:t>Equity Member 1</w:t>
            </w:r>
          </w:p>
        </w:tc>
        <w:tc>
          <w:tcPr>
            <w:tcW w:w="1110" w:type="pct"/>
            <w:tcBorders>
              <w:top w:val="single" w:sz="4" w:space="0" w:color="auto"/>
              <w:left w:val="single" w:sz="4" w:space="0" w:color="auto"/>
              <w:bottom w:val="single" w:sz="4" w:space="0" w:color="auto"/>
              <w:right w:val="single" w:sz="4" w:space="0" w:color="auto"/>
            </w:tcBorders>
          </w:tcPr>
          <w:p w14:paraId="14419DE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959" w:type="pct"/>
            <w:tcBorders>
              <w:top w:val="single" w:sz="4" w:space="0" w:color="auto"/>
              <w:left w:val="single" w:sz="4" w:space="0" w:color="auto"/>
              <w:bottom w:val="single" w:sz="4" w:space="0" w:color="auto"/>
              <w:right w:val="single" w:sz="4" w:space="0" w:color="auto"/>
            </w:tcBorders>
          </w:tcPr>
          <w:p w14:paraId="34545DDF"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959" w:type="pct"/>
            <w:tcBorders>
              <w:top w:val="single" w:sz="4" w:space="0" w:color="auto"/>
              <w:left w:val="single" w:sz="4" w:space="0" w:color="auto"/>
              <w:bottom w:val="single" w:sz="4" w:space="0" w:color="auto"/>
              <w:right w:val="single" w:sz="4" w:space="0" w:color="auto"/>
            </w:tcBorders>
          </w:tcPr>
          <w:p w14:paraId="23A20683"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955" w:type="pct"/>
            <w:tcBorders>
              <w:top w:val="single" w:sz="4" w:space="0" w:color="auto"/>
              <w:left w:val="single" w:sz="4" w:space="0" w:color="auto"/>
              <w:bottom w:val="single" w:sz="4" w:space="0" w:color="auto"/>
              <w:right w:val="single" w:sz="4" w:space="0" w:color="auto"/>
            </w:tcBorders>
          </w:tcPr>
          <w:p w14:paraId="19E0828B"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r w:rsidR="009526E4" w:rsidRPr="004A45C3" w14:paraId="2296D8AA" w14:textId="77777777" w:rsidTr="00A042AD">
        <w:tc>
          <w:tcPr>
            <w:tcW w:w="1017" w:type="pct"/>
            <w:tcBorders>
              <w:top w:val="single" w:sz="4" w:space="0" w:color="auto"/>
              <w:left w:val="single" w:sz="4" w:space="0" w:color="auto"/>
              <w:bottom w:val="single" w:sz="4" w:space="0" w:color="auto"/>
              <w:right w:val="single" w:sz="4" w:space="0" w:color="auto"/>
            </w:tcBorders>
            <w:hideMark/>
          </w:tcPr>
          <w:p w14:paraId="02A11CFE" w14:textId="77777777" w:rsidR="009526E4" w:rsidRPr="00C461DA" w:rsidRDefault="009526E4" w:rsidP="00A042AD">
            <w:pPr>
              <w:spacing w:before="120" w:after="120" w:line="254" w:lineRule="auto"/>
              <w:rPr>
                <w:rFonts w:ascii="Din" w:hAnsi="Din" w:cs="Segoe UI"/>
                <w:b/>
                <w:bCs/>
                <w:kern w:val="2"/>
                <w:sz w:val="20"/>
                <w:szCs w:val="20"/>
                <w14:ligatures w14:val="standardContextual"/>
              </w:rPr>
            </w:pPr>
            <w:r w:rsidRPr="00C461DA">
              <w:rPr>
                <w:rFonts w:ascii="Din" w:hAnsi="Din"/>
                <w:b/>
                <w:bCs/>
                <w:sz w:val="20"/>
                <w:szCs w:val="20"/>
              </w:rPr>
              <w:t>Equity Member 2</w:t>
            </w:r>
          </w:p>
        </w:tc>
        <w:tc>
          <w:tcPr>
            <w:tcW w:w="1110" w:type="pct"/>
            <w:tcBorders>
              <w:top w:val="single" w:sz="4" w:space="0" w:color="auto"/>
              <w:left w:val="single" w:sz="4" w:space="0" w:color="auto"/>
              <w:bottom w:val="single" w:sz="4" w:space="0" w:color="auto"/>
              <w:right w:val="single" w:sz="4" w:space="0" w:color="auto"/>
            </w:tcBorders>
          </w:tcPr>
          <w:p w14:paraId="79E1E182"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959" w:type="pct"/>
            <w:tcBorders>
              <w:top w:val="single" w:sz="4" w:space="0" w:color="auto"/>
              <w:left w:val="single" w:sz="4" w:space="0" w:color="auto"/>
              <w:bottom w:val="single" w:sz="4" w:space="0" w:color="auto"/>
              <w:right w:val="single" w:sz="4" w:space="0" w:color="auto"/>
            </w:tcBorders>
          </w:tcPr>
          <w:p w14:paraId="699542FE"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959" w:type="pct"/>
            <w:tcBorders>
              <w:top w:val="single" w:sz="4" w:space="0" w:color="auto"/>
              <w:left w:val="single" w:sz="4" w:space="0" w:color="auto"/>
              <w:bottom w:val="single" w:sz="4" w:space="0" w:color="auto"/>
              <w:right w:val="single" w:sz="4" w:space="0" w:color="auto"/>
            </w:tcBorders>
          </w:tcPr>
          <w:p w14:paraId="1E380A7A"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c>
          <w:tcPr>
            <w:tcW w:w="955" w:type="pct"/>
            <w:tcBorders>
              <w:top w:val="single" w:sz="4" w:space="0" w:color="auto"/>
              <w:left w:val="single" w:sz="4" w:space="0" w:color="auto"/>
              <w:bottom w:val="single" w:sz="4" w:space="0" w:color="auto"/>
              <w:right w:val="single" w:sz="4" w:space="0" w:color="auto"/>
            </w:tcBorders>
          </w:tcPr>
          <w:p w14:paraId="66F6BBFD" w14:textId="77777777" w:rsidR="009526E4" w:rsidRPr="004A45C3" w:rsidRDefault="009526E4" w:rsidP="00A042AD">
            <w:pPr>
              <w:spacing w:before="120" w:after="120" w:line="254" w:lineRule="auto"/>
              <w:rPr>
                <w:rFonts w:ascii="Din" w:hAnsi="Din" w:cs="Segoe UI"/>
                <w:kern w:val="2"/>
                <w:sz w:val="22"/>
                <w:szCs w:val="22"/>
                <w14:ligatures w14:val="standardContextual"/>
              </w:rPr>
            </w:pPr>
          </w:p>
        </w:tc>
      </w:tr>
    </w:tbl>
    <w:p w14:paraId="1002BFFC" w14:textId="77777777" w:rsidR="009526E4" w:rsidRPr="004A45C3" w:rsidRDefault="009526E4" w:rsidP="009526E4">
      <w:pPr>
        <w:spacing w:before="120" w:after="120" w:line="20" w:lineRule="exact"/>
        <w:ind w:left="10" w:right="10"/>
        <w:rPr>
          <w:rFonts w:ascii="Din" w:hAnsi="Din" w:cs="Segoe UI"/>
          <w:sz w:val="22"/>
          <w:szCs w:val="22"/>
        </w:rPr>
      </w:pPr>
    </w:p>
    <w:p w14:paraId="548BF24C" w14:textId="77777777" w:rsidR="009526E4" w:rsidRPr="004A45C3" w:rsidRDefault="009526E4" w:rsidP="009526E4">
      <w:pPr>
        <w:spacing w:before="120" w:after="120"/>
        <w:rPr>
          <w:rFonts w:ascii="Din" w:hAnsi="Din" w:cs="Segoe UI"/>
          <w:b/>
          <w:sz w:val="22"/>
          <w:szCs w:val="22"/>
        </w:rPr>
      </w:pPr>
      <w:r w:rsidRPr="004A45C3">
        <w:rPr>
          <w:rFonts w:ascii="Din" w:hAnsi="Din" w:cs="Segoe UI"/>
          <w:b/>
          <w:sz w:val="22"/>
          <w:szCs w:val="22"/>
        </w:rPr>
        <w:t>INSTRUCTIONS:</w:t>
      </w:r>
    </w:p>
    <w:p w14:paraId="17DB3FF4" w14:textId="77777777" w:rsidR="009526E4" w:rsidRPr="004A45C3" w:rsidRDefault="009526E4" w:rsidP="009526E4">
      <w:pPr>
        <w:spacing w:before="120" w:after="120"/>
        <w:rPr>
          <w:rFonts w:ascii="Din" w:hAnsi="Din" w:cs="Segoe UI"/>
          <w:sz w:val="22"/>
          <w:szCs w:val="22"/>
        </w:rPr>
      </w:pPr>
      <w:r w:rsidRPr="004A45C3">
        <w:rPr>
          <w:rFonts w:ascii="Din" w:hAnsi="Din" w:cs="Segoe UI"/>
          <w:sz w:val="22"/>
          <w:szCs w:val="22"/>
        </w:rPr>
        <w:t xml:space="preserve">*List the track record for all Equity Members (adjust the number of rows as applicable). If the Equity Member is an investment fund, please include the track record of affiliated funds (those under common management). </w:t>
      </w:r>
    </w:p>
    <w:p w14:paraId="51312E29" w14:textId="77777777" w:rsidR="009526E4" w:rsidRPr="004A45C3" w:rsidRDefault="009526E4" w:rsidP="009526E4">
      <w:pPr>
        <w:spacing w:before="120" w:after="120"/>
        <w:rPr>
          <w:rFonts w:ascii="Din" w:hAnsi="Din" w:cs="Segoe UI"/>
          <w:sz w:val="22"/>
          <w:szCs w:val="22"/>
        </w:rPr>
      </w:pPr>
      <w:r w:rsidRPr="004A45C3">
        <w:rPr>
          <w:rFonts w:ascii="Din" w:hAnsi="Din" w:cs="Segoe UI"/>
          <w:sz w:val="22"/>
          <w:szCs w:val="22"/>
        </w:rPr>
        <w:t>Please include projects for which Proposals were submitted within the past 5 years, even if short-listing occurred longer than 5 years ago.</w:t>
      </w:r>
    </w:p>
    <w:sectPr w:rsidR="009526E4" w:rsidRPr="004A45C3" w:rsidSect="00B04AB4">
      <w:headerReference w:type="even" r:id="rId10"/>
      <w:headerReference w:type="default" r:id="rId11"/>
      <w:footerReference w:type="even" r:id="rId12"/>
      <w:footerReference w:type="default" r:id="rId13"/>
      <w:headerReference w:type="first" r:id="rId14"/>
      <w:footerReference w:type="first" r:id="rId15"/>
      <w:endnotePr>
        <w:numFmt w:val="decimal"/>
      </w:endnotePr>
      <w:pgSz w:w="15840" w:h="12240" w:orient="landscape" w:code="1"/>
      <w:pgMar w:top="72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CE53" w14:textId="77777777" w:rsidR="00715C5C" w:rsidRDefault="00715C5C">
      <w:r>
        <w:separator/>
      </w:r>
    </w:p>
  </w:endnote>
  <w:endnote w:type="continuationSeparator" w:id="0">
    <w:p w14:paraId="5FDB662E" w14:textId="77777777" w:rsidR="00715C5C" w:rsidRDefault="0071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i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D908" w14:textId="4648D696" w:rsidR="00715C5C" w:rsidRDefault="00B04AB4" w:rsidP="00715C5C">
    <w:pPr>
      <w:pStyle w:val="FooterReference"/>
    </w:pPr>
    <w:fldSimple w:instr=" DOCVARIABLE #DNDocID \* MERGEFORMAT ">
      <w:r>
        <w:t>1759754889.1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5CAD" w14:textId="6D5AEFB7" w:rsidR="00715C5C" w:rsidRDefault="00715C5C" w:rsidP="00715C5C">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1D030B" w:rsidRPr="00DD74C1" w14:paraId="35FCD508"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604857A5" w14:textId="77777777" w:rsidR="001D030B" w:rsidRPr="00DD74C1" w:rsidRDefault="001D030B" w:rsidP="001D030B">
          <w:pPr>
            <w:pStyle w:val="FooterReference"/>
            <w:spacing w:after="0"/>
            <w:ind w:left="-106"/>
            <w:rPr>
              <w:rFonts w:ascii="Din" w:hAnsi="Din"/>
              <w:color w:val="auto"/>
              <w:sz w:val="18"/>
              <w:szCs w:val="18"/>
            </w:rPr>
          </w:pPr>
          <w:r w:rsidRPr="00DD74C1">
            <w:rPr>
              <w:rFonts w:ascii="Din" w:hAnsi="Din"/>
              <w:color w:val="auto"/>
              <w:sz w:val="18"/>
              <w:szCs w:val="18"/>
            </w:rPr>
            <w:t>RFQ – South Suburban Airport Project</w:t>
          </w:r>
        </w:p>
      </w:tc>
      <w:tc>
        <w:tcPr>
          <w:tcW w:w="3780" w:type="dxa"/>
          <w:tcBorders>
            <w:bottom w:val="none" w:sz="0" w:space="0" w:color="auto"/>
          </w:tcBorders>
        </w:tcPr>
        <w:p w14:paraId="52575046" w14:textId="77777777" w:rsidR="001D030B" w:rsidRPr="00DD74C1" w:rsidRDefault="001D030B" w:rsidP="001D030B">
          <w:pPr>
            <w:pStyle w:val="Footer"/>
            <w:spacing w:before="0" w:after="0"/>
            <w:jc w:val="right"/>
            <w:rPr>
              <w:rFonts w:ascii="Din" w:hAnsi="Din"/>
              <w:b/>
              <w:color w:val="auto"/>
              <w:sz w:val="18"/>
              <w:szCs w:val="18"/>
            </w:rPr>
          </w:pPr>
          <w:r w:rsidRPr="00DD74C1">
            <w:rPr>
              <w:rFonts w:ascii="Din" w:hAnsi="Din"/>
              <w:b/>
              <w:sz w:val="18"/>
              <w:szCs w:val="18"/>
            </w:rPr>
            <w:fldChar w:fldCharType="begin"/>
          </w:r>
          <w:r w:rsidRPr="00DD74C1">
            <w:rPr>
              <w:rFonts w:ascii="Din" w:hAnsi="Din"/>
              <w:color w:val="auto"/>
              <w:sz w:val="18"/>
              <w:szCs w:val="18"/>
            </w:rPr>
            <w:instrText xml:space="preserve"> PAGE   \* MERGEFORMAT </w:instrText>
          </w:r>
          <w:r w:rsidRPr="00DD74C1">
            <w:rPr>
              <w:rFonts w:ascii="Din" w:hAnsi="Din"/>
              <w:b/>
              <w:sz w:val="18"/>
              <w:szCs w:val="18"/>
            </w:rPr>
            <w:fldChar w:fldCharType="separate"/>
          </w:r>
          <w:r w:rsidRPr="00DD74C1">
            <w:rPr>
              <w:rFonts w:ascii="Din" w:hAnsi="Din"/>
              <w:sz w:val="18"/>
              <w:szCs w:val="18"/>
            </w:rPr>
            <w:t>71</w:t>
          </w:r>
          <w:r w:rsidRPr="00DD74C1">
            <w:rPr>
              <w:rFonts w:ascii="Din" w:hAnsi="Din"/>
              <w:b/>
              <w:sz w:val="18"/>
              <w:szCs w:val="18"/>
            </w:rPr>
            <w:fldChar w:fldCharType="end"/>
          </w:r>
        </w:p>
      </w:tc>
      <w:tc>
        <w:tcPr>
          <w:tcW w:w="7110" w:type="dxa"/>
          <w:tcBorders>
            <w:bottom w:val="none" w:sz="0" w:space="0" w:color="auto"/>
          </w:tcBorders>
        </w:tcPr>
        <w:p w14:paraId="7AAF6684" w14:textId="77777777" w:rsidR="001D030B" w:rsidRPr="00DD74C1" w:rsidRDefault="001D030B" w:rsidP="001D030B">
          <w:pPr>
            <w:pStyle w:val="Footer"/>
            <w:spacing w:before="0" w:after="0"/>
            <w:ind w:right="-105"/>
            <w:jc w:val="right"/>
            <w:rPr>
              <w:rFonts w:ascii="Din" w:hAnsi="Din"/>
              <w:b/>
              <w:color w:val="auto"/>
              <w:sz w:val="18"/>
              <w:szCs w:val="18"/>
            </w:rPr>
          </w:pPr>
          <w:r w:rsidRPr="00DD74C1">
            <w:rPr>
              <w:rFonts w:ascii="Din" w:hAnsi="Din"/>
              <w:color w:val="auto"/>
              <w:sz w:val="18"/>
              <w:szCs w:val="18"/>
            </w:rPr>
            <w:t>May 8, 2026</w:t>
          </w:r>
        </w:p>
      </w:tc>
    </w:tr>
    <w:tr w:rsidR="001D030B" w:rsidRPr="00DD74C1" w14:paraId="1CEBF758" w14:textId="77777777" w:rsidTr="00071316">
      <w:tc>
        <w:tcPr>
          <w:tcW w:w="3780" w:type="dxa"/>
        </w:tcPr>
        <w:p w14:paraId="3F857025" w14:textId="77777777" w:rsidR="001D030B" w:rsidRPr="00DD74C1" w:rsidRDefault="001D030B" w:rsidP="001D030B">
          <w:pPr>
            <w:pStyle w:val="Footer"/>
            <w:spacing w:before="0" w:after="0"/>
            <w:ind w:left="-106"/>
            <w:rPr>
              <w:rFonts w:ascii="Din" w:hAnsi="Din"/>
              <w:b/>
              <w:sz w:val="18"/>
              <w:szCs w:val="18"/>
            </w:rPr>
          </w:pPr>
          <w:r w:rsidRPr="00DD74C1">
            <w:rPr>
              <w:rFonts w:ascii="Din" w:hAnsi="Din"/>
              <w:sz w:val="18"/>
              <w:szCs w:val="18"/>
            </w:rPr>
            <w:t>Part C: Forms</w:t>
          </w:r>
        </w:p>
      </w:tc>
      <w:tc>
        <w:tcPr>
          <w:tcW w:w="10890" w:type="dxa"/>
          <w:gridSpan w:val="2"/>
        </w:tcPr>
        <w:p w14:paraId="7D2C05EB" w14:textId="77777777" w:rsidR="001D030B" w:rsidRPr="00DD74C1" w:rsidRDefault="001D030B" w:rsidP="001D030B">
          <w:pPr>
            <w:pStyle w:val="Footer"/>
            <w:spacing w:before="0" w:after="0"/>
            <w:ind w:right="-109"/>
            <w:jc w:val="right"/>
            <w:rPr>
              <w:rFonts w:ascii="Din" w:hAnsi="Din"/>
              <w:b/>
              <w:sz w:val="18"/>
              <w:szCs w:val="18"/>
            </w:rPr>
          </w:pPr>
          <w:r w:rsidRPr="00DD74C1">
            <w:rPr>
              <w:rFonts w:ascii="Din" w:hAnsi="Din"/>
              <w:sz w:val="18"/>
              <w:szCs w:val="18"/>
            </w:rPr>
            <w:t>Form F (Equity Member Track Record)</w:t>
          </w:r>
        </w:p>
      </w:tc>
    </w:tr>
  </w:tbl>
  <w:p w14:paraId="0240B447" w14:textId="77777777" w:rsidR="00306C9B" w:rsidRDefault="00306C9B" w:rsidP="00715C5C">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D65F" w14:textId="6510C562" w:rsidR="00715C5C" w:rsidRDefault="00B04AB4" w:rsidP="00715C5C">
    <w:pPr>
      <w:pStyle w:val="FooterReference"/>
    </w:pPr>
    <w:fldSimple w:instr=" DOCVARIABLE #DNDocID \* MERGEFORMAT ">
      <w:r>
        <w:t>1759754889.1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9635" w14:textId="77777777" w:rsidR="00715C5C" w:rsidRDefault="00715C5C">
      <w:r>
        <w:separator/>
      </w:r>
    </w:p>
  </w:footnote>
  <w:footnote w:type="continuationSeparator" w:id="0">
    <w:p w14:paraId="56B2963E" w14:textId="77777777" w:rsidR="00715C5C" w:rsidRDefault="00715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D6B0" w14:textId="77777777" w:rsidR="00715C5C" w:rsidRDefault="00715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10170"/>
    </w:tblGrid>
    <w:tr w:rsidR="00DD74C1" w:rsidRPr="00DD74C1" w14:paraId="53BA1BC9" w14:textId="77777777" w:rsidTr="00A042AD">
      <w:trPr>
        <w:cnfStyle w:val="100000000000" w:firstRow="1" w:lastRow="0" w:firstColumn="0" w:lastColumn="0" w:oddVBand="0" w:evenVBand="0" w:oddHBand="0" w:evenHBand="0" w:firstRowFirstColumn="0" w:firstRowLastColumn="0" w:lastRowFirstColumn="0" w:lastRowLastColumn="0"/>
      </w:trPr>
      <w:tc>
        <w:tcPr>
          <w:tcW w:w="4140" w:type="dxa"/>
        </w:tcPr>
        <w:p w14:paraId="0077B70A" w14:textId="77777777" w:rsidR="008A337B" w:rsidRPr="00DD74C1" w:rsidRDefault="008A337B" w:rsidP="008A337B">
          <w:pPr>
            <w:pStyle w:val="Header"/>
            <w:spacing w:before="120" w:after="120"/>
            <w:ind w:left="-109"/>
            <w:rPr>
              <w:rFonts w:ascii="Din" w:hAnsi="Din" w:cs="Segoe UI"/>
              <w:b/>
              <w:bCs/>
              <w:color w:val="auto"/>
              <w:sz w:val="18"/>
              <w:szCs w:val="18"/>
            </w:rPr>
          </w:pPr>
          <w:r w:rsidRPr="00DD74C1">
            <w:rPr>
              <w:rFonts w:ascii="Din" w:hAnsi="Din" w:cs="Segoe UI"/>
              <w:b/>
              <w:bCs/>
              <w:color w:val="auto"/>
              <w:sz w:val="18"/>
              <w:szCs w:val="18"/>
            </w:rPr>
            <w:t>ILLINOIS DEPARTMENT OF TRANSPORTATION</w:t>
          </w:r>
        </w:p>
      </w:tc>
      <w:tc>
        <w:tcPr>
          <w:tcW w:w="10170" w:type="dxa"/>
        </w:tcPr>
        <w:p w14:paraId="0BB5ACFD" w14:textId="77777777" w:rsidR="008A337B" w:rsidRPr="00DD74C1" w:rsidRDefault="008A337B" w:rsidP="008A337B">
          <w:pPr>
            <w:spacing w:before="120" w:after="120" w:line="140" w:lineRule="atLeast"/>
            <w:ind w:right="-109"/>
            <w:jc w:val="right"/>
            <w:rPr>
              <w:rFonts w:ascii="Din" w:hAnsi="Din" w:cs="Segoe UI"/>
              <w:b/>
              <w:color w:val="auto"/>
              <w:sz w:val="18"/>
              <w:szCs w:val="18"/>
            </w:rPr>
          </w:pPr>
          <w:r w:rsidRPr="00DD74C1">
            <w:rPr>
              <w:rFonts w:ascii="Din" w:hAnsi="Din" w:cs="Segoe UI"/>
              <w:b/>
              <w:color w:val="auto"/>
              <w:sz w:val="18"/>
              <w:szCs w:val="18"/>
            </w:rPr>
            <w:t>SOLICITATION NO. IPDSSAP32025</w:t>
          </w:r>
        </w:p>
      </w:tc>
    </w:tr>
  </w:tbl>
  <w:p w14:paraId="3A6E144E" w14:textId="77777777" w:rsidR="00715C5C" w:rsidRDefault="00715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830E" w14:textId="77777777" w:rsidR="00715C5C" w:rsidRDefault="00715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98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4889.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4889"/>
    <w:docVar w:name="imProfileLastSavedTime" w:val="5-May-26 17:58"/>
    <w:docVar w:name="imProfileVersion" w:val="1"/>
    <w:docVar w:name="LastSelectedNamespace" w:val="http://schemas.macroview.com.au/documentsettings"/>
    <w:docVar w:name="MacroView Created Version" w:val="1.0.790.0"/>
  </w:docVars>
  <w:rsids>
    <w:rsidRoot w:val="00715C5C"/>
    <w:rsid w:val="0001566C"/>
    <w:rsid w:val="00053EBB"/>
    <w:rsid w:val="000546E5"/>
    <w:rsid w:val="00075AF4"/>
    <w:rsid w:val="00154E3A"/>
    <w:rsid w:val="00185C4B"/>
    <w:rsid w:val="00187702"/>
    <w:rsid w:val="001D030B"/>
    <w:rsid w:val="001D5C9D"/>
    <w:rsid w:val="00256424"/>
    <w:rsid w:val="00266EC0"/>
    <w:rsid w:val="00306C9B"/>
    <w:rsid w:val="00315EBD"/>
    <w:rsid w:val="003566BA"/>
    <w:rsid w:val="003C3810"/>
    <w:rsid w:val="00546C6B"/>
    <w:rsid w:val="005823C5"/>
    <w:rsid w:val="0062530A"/>
    <w:rsid w:val="006C3E6A"/>
    <w:rsid w:val="00715C5C"/>
    <w:rsid w:val="00802484"/>
    <w:rsid w:val="00832F2B"/>
    <w:rsid w:val="0088613E"/>
    <w:rsid w:val="008A337B"/>
    <w:rsid w:val="008A69C8"/>
    <w:rsid w:val="008E6639"/>
    <w:rsid w:val="008E7061"/>
    <w:rsid w:val="009526E4"/>
    <w:rsid w:val="009967AF"/>
    <w:rsid w:val="009B6543"/>
    <w:rsid w:val="00A419F1"/>
    <w:rsid w:val="00A53EEB"/>
    <w:rsid w:val="00A90016"/>
    <w:rsid w:val="00AD6FFD"/>
    <w:rsid w:val="00AF25EB"/>
    <w:rsid w:val="00B04AB4"/>
    <w:rsid w:val="00B303B0"/>
    <w:rsid w:val="00B33DC3"/>
    <w:rsid w:val="00B476C2"/>
    <w:rsid w:val="00B654C5"/>
    <w:rsid w:val="00B93C2A"/>
    <w:rsid w:val="00BF502A"/>
    <w:rsid w:val="00C04DBE"/>
    <w:rsid w:val="00C41623"/>
    <w:rsid w:val="00CF26E9"/>
    <w:rsid w:val="00CF39DB"/>
    <w:rsid w:val="00DD74C1"/>
    <w:rsid w:val="00ED2FCC"/>
    <w:rsid w:val="00ED6DAF"/>
    <w:rsid w:val="00F203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4F5A5B"/>
  <w15:docId w15:val="{86609130-F7F2-43B0-9821-AF5D06CA8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qFormat/>
    <w:rsid w:val="001D5C9D"/>
    <w:pPr>
      <w:keepNext/>
      <w:spacing w:after="240"/>
      <w:outlineLvl w:val="0"/>
    </w:pPr>
  </w:style>
  <w:style w:type="paragraph" w:styleId="Heading2">
    <w:name w:val="heading 2"/>
    <w:basedOn w:val="Normal"/>
    <w:next w:val="BodyTextFirstIndent"/>
    <w:link w:val="Heading2Char"/>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715C5C"/>
    <w:rPr>
      <w:sz w:val="16"/>
    </w:rPr>
  </w:style>
  <w:style w:type="character" w:customStyle="1" w:styleId="BodyTextFirstIndentChar">
    <w:name w:val="Body Text First Indent Char"/>
    <w:basedOn w:val="DefaultParagraphFont"/>
    <w:link w:val="BodyTextFirstIndent"/>
    <w:rsid w:val="00715C5C"/>
    <w:rPr>
      <w:sz w:val="24"/>
      <w:szCs w:val="24"/>
    </w:rPr>
  </w:style>
  <w:style w:type="character" w:customStyle="1" w:styleId="FooterReferenceChar">
    <w:name w:val="Footer Reference Char"/>
    <w:basedOn w:val="BodyTextFirstIndentChar"/>
    <w:link w:val="FooterReference"/>
    <w:semiHidden/>
    <w:rsid w:val="00715C5C"/>
    <w:rPr>
      <w:sz w:val="16"/>
      <w:szCs w:val="24"/>
    </w:rPr>
  </w:style>
  <w:style w:type="character" w:customStyle="1" w:styleId="Heading2Char">
    <w:name w:val="Heading 2 Char"/>
    <w:basedOn w:val="DefaultParagraphFont"/>
    <w:link w:val="Heading2"/>
    <w:rsid w:val="009526E4"/>
    <w:rPr>
      <w:sz w:val="24"/>
      <w:szCs w:val="24"/>
    </w:rPr>
  </w:style>
  <w:style w:type="character" w:customStyle="1" w:styleId="HeaderChar">
    <w:name w:val="Header Char"/>
    <w:basedOn w:val="DefaultParagraphFont"/>
    <w:link w:val="Header"/>
    <w:uiPriority w:val="99"/>
    <w:rsid w:val="009526E4"/>
    <w:rPr>
      <w:sz w:val="24"/>
      <w:szCs w:val="24"/>
    </w:rPr>
  </w:style>
  <w:style w:type="character" w:customStyle="1" w:styleId="FooterChar">
    <w:name w:val="Footer Char"/>
    <w:basedOn w:val="DefaultParagraphFont"/>
    <w:link w:val="Footer"/>
    <w:rsid w:val="009526E4"/>
    <w:rPr>
      <w:sz w:val="24"/>
      <w:szCs w:val="24"/>
    </w:rPr>
  </w:style>
  <w:style w:type="paragraph" w:customStyle="1" w:styleId="Heading1-nonumber">
    <w:name w:val="Heading 1 - no number"/>
    <w:basedOn w:val="Normal"/>
    <w:next w:val="Normal"/>
    <w:rsid w:val="009526E4"/>
    <w:pPr>
      <w:spacing w:after="240"/>
    </w:pPr>
    <w:rPr>
      <w:rFonts w:ascii="Arial Narrow" w:eastAsia="MS Mincho" w:hAnsi="Arial Narrow"/>
      <w:b/>
      <w:noProof/>
      <w:sz w:val="32"/>
      <w:szCs w:val="32"/>
      <w:lang w:eastAsia="ja-JP" w:bidi="ar-SA"/>
    </w:rPr>
  </w:style>
  <w:style w:type="table" w:styleId="TableGrid">
    <w:name w:val="Table Grid"/>
    <w:basedOn w:val="TableNormal"/>
    <w:uiPriority w:val="59"/>
    <w:rsid w:val="009526E4"/>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styleId="ListParagraph">
    <w:name w:val="List Paragraph"/>
    <w:basedOn w:val="Normal"/>
    <w:uiPriority w:val="34"/>
    <w:qFormat/>
    <w:rsid w:val="009526E4"/>
    <w:pPr>
      <w:spacing w:after="240"/>
      <w:ind w:left="720"/>
      <w:contextualSpacing/>
      <w:jc w:val="both"/>
    </w:pPr>
    <w:rPr>
      <w:rFonts w:ascii="Arial Narrow" w:eastAsia="MS Mincho" w:hAnsi="Arial Narrow"/>
      <w:lang w:eastAsia="ja-JP" w:bidi="ar-SA"/>
    </w:rPr>
  </w:style>
  <w:style w:type="paragraph" w:customStyle="1" w:styleId="Default">
    <w:name w:val="Default"/>
    <w:rsid w:val="009526E4"/>
    <w:pPr>
      <w:autoSpaceDE w:val="0"/>
      <w:autoSpaceDN w:val="0"/>
      <w:adjustRightInd w:val="0"/>
    </w:pPr>
    <w:rPr>
      <w:rFonts w:eastAsiaTheme="minorHAnsi"/>
      <w:color w:val="000000"/>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 A M E C U R R E N T ! 1 7 5 9 7 5 4 8 8 9 . 1 < / d o c u m e n t i d >  
     < s e n d e r i d > R D 0 5 9 1 7 5 < / s e n d e r i d >  
     < s e n d e r e m a i l > R D R I Z I N @ M A Y E R B R O W N . C O M < / s e n d e r e m a i l >  
     < l a s t m o d i f i e d > 2 0 2 6 - 0 5 - 0 5 T 1 7 : 5 8 : 0 0 . 0 0 0 0 0 0 0 - 0 5 : 0 0 < / l a s t m o d i f i e d >  
     < d a t a b a s e > A M E C U R R E N T < / d a t a b a s e >  
 < / p r o p e r t i e s > 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Props1.xml><?xml version="1.0" encoding="utf-8"?>
<ds:datastoreItem xmlns:ds="http://schemas.openxmlformats.org/officeDocument/2006/customXml" ds:itemID="{D5B547D7-4740-46B0-9DD8-43E9F948C9F9}">
  <ds:schemaRefs>
    <ds:schemaRef ds:uri="http://www.imanage.com/work/xmlschema"/>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635C55AA-CD09-4271-82AB-ADF3D4F50191}">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284</Words>
  <Characters>1489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dcterms:created xsi:type="dcterms:W3CDTF">2026-05-07T13:35:00Z</dcterms:created>
  <dcterms:modified xsi:type="dcterms:W3CDTF">2026-05-07T13:35:00Z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