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95D9B" w14:textId="008EF8B7" w:rsidR="00F007FA" w:rsidRPr="00D67A9A" w:rsidRDefault="000B318F" w:rsidP="00E30DEC">
      <w:pPr>
        <w:spacing w:after="0" w:line="240" w:lineRule="auto"/>
        <w:ind w:left="-360" w:right="-360" w:firstLine="36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Outdoor Advertising Control Program Services</w:t>
      </w:r>
      <w:r w:rsidR="00D67A9A" w:rsidRPr="00D67A9A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F007FA" w:rsidRPr="00D67A9A">
        <w:rPr>
          <w:rFonts w:ascii="Calibri" w:eastAsia="Calibri" w:hAnsi="Calibri" w:cs="Calibri"/>
          <w:b/>
          <w:bCs/>
          <w:sz w:val="32"/>
          <w:szCs w:val="32"/>
        </w:rPr>
        <w:t>- RFP</w:t>
      </w:r>
    </w:p>
    <w:p w14:paraId="0AF257DB" w14:textId="45134240" w:rsidR="000B318F" w:rsidRPr="00E30DEC" w:rsidRDefault="000B318F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32"/>
          <w:szCs w:val="32"/>
        </w:rPr>
      </w:pPr>
      <w:r w:rsidRPr="00E30DEC">
        <w:rPr>
          <w:rFonts w:cs="Calibri"/>
          <w:b/>
          <w:bCs/>
          <w:sz w:val="32"/>
          <w:szCs w:val="32"/>
        </w:rPr>
        <w:t>DOT22-OAC-01</w:t>
      </w:r>
    </w:p>
    <w:p w14:paraId="0972BAFF" w14:textId="0C80383F" w:rsidR="00D67A9A" w:rsidRPr="00D67A9A" w:rsidRDefault="000A1157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Addendum</w:t>
      </w:r>
      <w:r w:rsidR="00F007FA" w:rsidRPr="00D67A9A">
        <w:rPr>
          <w:rFonts w:cs="Calibri"/>
          <w:b/>
          <w:bCs/>
          <w:sz w:val="32"/>
          <w:szCs w:val="32"/>
        </w:rPr>
        <w:t xml:space="preserve"> </w:t>
      </w:r>
      <w:r w:rsidR="000B318F">
        <w:rPr>
          <w:rFonts w:cs="Calibri"/>
          <w:b/>
          <w:bCs/>
          <w:sz w:val="32"/>
          <w:szCs w:val="32"/>
        </w:rPr>
        <w:t>#1</w:t>
      </w:r>
    </w:p>
    <w:p w14:paraId="2200333B" w14:textId="067C71B9" w:rsidR="00F007FA" w:rsidRDefault="00F007FA" w:rsidP="00E30DEC">
      <w:pPr>
        <w:pStyle w:val="Header"/>
        <w:pBdr>
          <w:bottom w:val="single" w:sz="4" w:space="1" w:color="auto"/>
        </w:pBdr>
        <w:jc w:val="center"/>
        <w:rPr>
          <w:rFonts w:cs="Calibri"/>
          <w:b/>
          <w:bCs/>
          <w:sz w:val="28"/>
          <w:szCs w:val="28"/>
        </w:rPr>
      </w:pPr>
      <w:r w:rsidRPr="001803C1">
        <w:rPr>
          <w:rFonts w:cs="Calibri"/>
          <w:b/>
          <w:bCs/>
          <w:sz w:val="28"/>
          <w:szCs w:val="28"/>
        </w:rPr>
        <w:t>Response</w:t>
      </w:r>
      <w:r w:rsidR="000A1157">
        <w:rPr>
          <w:rFonts w:cs="Calibri"/>
          <w:b/>
          <w:bCs/>
          <w:sz w:val="28"/>
          <w:szCs w:val="28"/>
        </w:rPr>
        <w:t>s</w:t>
      </w:r>
      <w:r w:rsidRPr="001803C1">
        <w:rPr>
          <w:rFonts w:cs="Calibri"/>
          <w:b/>
          <w:bCs/>
          <w:sz w:val="28"/>
          <w:szCs w:val="28"/>
        </w:rPr>
        <w:t xml:space="preserve"> to Vendor’s Question</w:t>
      </w:r>
      <w:r w:rsidR="000A1157">
        <w:rPr>
          <w:rFonts w:cs="Calibri"/>
          <w:b/>
          <w:bCs/>
          <w:sz w:val="28"/>
          <w:szCs w:val="28"/>
        </w:rPr>
        <w:t>s</w:t>
      </w:r>
    </w:p>
    <w:p w14:paraId="6F237EED" w14:textId="344C32DA" w:rsidR="000A1157" w:rsidRPr="00D67A9A" w:rsidRDefault="000A1157" w:rsidP="00E30DEC">
      <w:pPr>
        <w:pStyle w:val="Header"/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rFonts w:cs="Calibri"/>
          <w:b/>
          <w:bCs/>
          <w:sz w:val="28"/>
          <w:szCs w:val="28"/>
        </w:rPr>
        <w:t>December 22, 2021</w:t>
      </w:r>
    </w:p>
    <w:p w14:paraId="09631EB8" w14:textId="0EDD7D35" w:rsidR="000B318F" w:rsidRDefault="00A55936" w:rsidP="000B318F">
      <w:pPr>
        <w:spacing w:after="0"/>
      </w:pPr>
      <w:r>
        <w:t xml:space="preserve"> </w:t>
      </w:r>
    </w:p>
    <w:p w14:paraId="42A97825" w14:textId="77777777" w:rsidR="000B318F" w:rsidRDefault="000B318F" w:rsidP="00A24955">
      <w:pPr>
        <w:pStyle w:val="ListParagraph"/>
        <w:numPr>
          <w:ilvl w:val="0"/>
          <w:numId w:val="8"/>
        </w:numPr>
        <w:spacing w:after="120"/>
        <w:rPr>
          <w:rFonts w:eastAsia="Times New Roman"/>
        </w:rPr>
      </w:pPr>
      <w:r>
        <w:rPr>
          <w:rFonts w:eastAsia="Times New Roman"/>
        </w:rPr>
        <w:t>What is the difference for inventory of junkyards between?</w:t>
      </w:r>
    </w:p>
    <w:p w14:paraId="63759C2C" w14:textId="7F05DBFF" w:rsidR="000B318F" w:rsidRPr="000B318F" w:rsidRDefault="000B318F" w:rsidP="000B318F">
      <w:pPr>
        <w:pStyle w:val="ListParagraph"/>
        <w:rPr>
          <w:rFonts w:eastAsia="Times New Roman"/>
        </w:rPr>
      </w:pPr>
      <w:r>
        <w:t xml:space="preserve">1.2.1 Provide a complete statewide sign and junkyard inventory (existing, </w:t>
      </w:r>
      <w:r w:rsidR="000A1157">
        <w:t>p</w:t>
      </w:r>
      <w:r>
        <w:t>roposed, removed, and illegal new) when directed by IDOT.</w:t>
      </w:r>
    </w:p>
    <w:p w14:paraId="256043FD" w14:textId="7A73060B" w:rsidR="000B318F" w:rsidRDefault="000B318F" w:rsidP="00A24955">
      <w:pPr>
        <w:spacing w:before="120" w:after="120"/>
      </w:pPr>
      <w:r>
        <w:t> </w:t>
      </w:r>
      <w:r>
        <w:tab/>
        <w:t xml:space="preserve">And </w:t>
      </w:r>
    </w:p>
    <w:p w14:paraId="685C5A2D" w14:textId="2ACFBD63" w:rsidR="000B318F" w:rsidRDefault="000B318F" w:rsidP="000B318F">
      <w:r>
        <w:tab/>
        <w:t>1.2.2 Provide a complete statewide junkyard inventory when directed by IDOT.</w:t>
      </w:r>
    </w:p>
    <w:p w14:paraId="39FC5CEB" w14:textId="1ED5B223" w:rsidR="000B318F" w:rsidRDefault="000B318F" w:rsidP="000B318F">
      <w:pPr>
        <w:tabs>
          <w:tab w:val="left" w:pos="720"/>
          <w:tab w:val="left" w:pos="1710"/>
        </w:tabs>
        <w:rPr>
          <w:color w:val="FF0000"/>
        </w:rPr>
      </w:pPr>
      <w:r>
        <w:rPr>
          <w:color w:val="FF0000"/>
        </w:rPr>
        <w:tab/>
      </w:r>
      <w:r w:rsidRPr="000B318F">
        <w:rPr>
          <w:b/>
          <w:bCs/>
        </w:rPr>
        <w:t>Response:</w:t>
      </w:r>
      <w:r w:rsidRPr="000B318F">
        <w:t xml:space="preserve"> </w:t>
      </w:r>
      <w:r>
        <w:rPr>
          <w:color w:val="FF0000"/>
        </w:rPr>
        <w:t>1.2.2 is redundant with 1.2.1, there are</w:t>
      </w:r>
      <w:r w:rsidR="00A24955">
        <w:rPr>
          <w:color w:val="FF0000"/>
        </w:rPr>
        <w:t xml:space="preserve"> no</w:t>
      </w:r>
      <w:r>
        <w:rPr>
          <w:color w:val="FF0000"/>
        </w:rPr>
        <w:t xml:space="preserve"> difference</w:t>
      </w:r>
      <w:r w:rsidR="000A1157">
        <w:rPr>
          <w:color w:val="FF0000"/>
        </w:rPr>
        <w:t>s</w:t>
      </w:r>
      <w:r>
        <w:rPr>
          <w:color w:val="FF0000"/>
        </w:rPr>
        <w:t xml:space="preserve"> between the two referenced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sections.</w:t>
      </w:r>
    </w:p>
    <w:p w14:paraId="218584C8" w14:textId="77777777" w:rsidR="000B318F" w:rsidRDefault="000B318F" w:rsidP="000B318F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What is the expected deliverable for the inventory a sign or junkyard that does not exist, i.e. removed?</w:t>
      </w:r>
    </w:p>
    <w:p w14:paraId="1A43A53B" w14:textId="5270AB3D" w:rsidR="000B318F" w:rsidRDefault="000B318F" w:rsidP="000B318F">
      <w:r>
        <w:rPr>
          <w:color w:val="FF0000"/>
        </w:rPr>
        <w:tab/>
      </w:r>
      <w:r w:rsidRPr="000B318F">
        <w:rPr>
          <w:b/>
          <w:bCs/>
        </w:rPr>
        <w:t>Response:</w:t>
      </w:r>
      <w:r>
        <w:rPr>
          <w:color w:val="FF0000"/>
        </w:rPr>
        <w:t xml:space="preserve"> An inspection record with photos of signs prior location to document the sign is no </w:t>
      </w:r>
      <w:r>
        <w:rPr>
          <w:color w:val="FF0000"/>
        </w:rPr>
        <w:tab/>
        <w:t>longer in existence.</w:t>
      </w:r>
    </w:p>
    <w:p w14:paraId="3026813B" w14:textId="77777777" w:rsidR="000B318F" w:rsidRDefault="000B318F" w:rsidP="000B318F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What is the expected deliverable for the inventory of proposed signs and junkyards?</w:t>
      </w:r>
    </w:p>
    <w:p w14:paraId="50388222" w14:textId="75DABA78" w:rsidR="000B318F" w:rsidRDefault="000B318F" w:rsidP="000B318F">
      <w:pPr>
        <w:rPr>
          <w:color w:val="FF0000"/>
        </w:rPr>
      </w:pPr>
      <w:r>
        <w:rPr>
          <w:color w:val="FF0000"/>
        </w:rPr>
        <w:tab/>
      </w:r>
      <w:r w:rsidRPr="000B318F">
        <w:rPr>
          <w:b/>
          <w:bCs/>
        </w:rPr>
        <w:t>Response:</w:t>
      </w:r>
      <w:r>
        <w:rPr>
          <w:color w:val="FF0000"/>
        </w:rPr>
        <w:t xml:space="preserve"> An inspection record with photo of proposed site showing the current status of the </w:t>
      </w:r>
      <w:r>
        <w:rPr>
          <w:color w:val="FF0000"/>
        </w:rPr>
        <w:tab/>
        <w:t xml:space="preserve">property and showing that the sign/ junkyard has not yet been erected or built.  </w:t>
      </w:r>
    </w:p>
    <w:p w14:paraId="22E53A0E" w14:textId="77777777" w:rsidR="000B318F" w:rsidRDefault="000B318F" w:rsidP="000B318F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How are “illegal new” signs and junkyards defined?</w:t>
      </w:r>
    </w:p>
    <w:p w14:paraId="4EF0ED8C" w14:textId="071F9CCB" w:rsidR="000B318F" w:rsidRDefault="000B318F" w:rsidP="000B318F">
      <w:pPr>
        <w:pStyle w:val="ListParagraph"/>
        <w:spacing w:after="200"/>
        <w:rPr>
          <w:color w:val="FF0000"/>
        </w:rPr>
      </w:pPr>
      <w:r w:rsidRPr="000B318F">
        <w:rPr>
          <w:b/>
          <w:bCs/>
        </w:rPr>
        <w:t>Response:</w:t>
      </w:r>
      <w:r>
        <w:rPr>
          <w:color w:val="FF0000"/>
        </w:rPr>
        <w:t xml:space="preserve"> This was a typo.  It should state “illegal/new”</w:t>
      </w:r>
      <w:r w:rsidR="000A1157">
        <w:rPr>
          <w:color w:val="FF0000"/>
        </w:rPr>
        <w:t>.</w:t>
      </w:r>
    </w:p>
    <w:p w14:paraId="0BD5F21F" w14:textId="77777777" w:rsidR="000B318F" w:rsidRDefault="000B318F" w:rsidP="000B318F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Are illegal “old” signs and junkyards not to be inventoried?</w:t>
      </w:r>
    </w:p>
    <w:p w14:paraId="29B65612" w14:textId="2C252C8D" w:rsidR="000B318F" w:rsidRDefault="000B318F" w:rsidP="000B318F">
      <w:pPr>
        <w:rPr>
          <w:color w:val="FF0000"/>
        </w:rPr>
      </w:pPr>
      <w:r>
        <w:rPr>
          <w:color w:val="FF0000"/>
        </w:rPr>
        <w:tab/>
      </w:r>
      <w:r w:rsidRPr="000B318F">
        <w:rPr>
          <w:b/>
          <w:bCs/>
        </w:rPr>
        <w:t>Response:</w:t>
      </w:r>
      <w:r>
        <w:rPr>
          <w:color w:val="FF0000"/>
        </w:rPr>
        <w:t xml:space="preserve"> All illegal signs and junkyards are to be inventoried. See answer to question #4.</w:t>
      </w:r>
    </w:p>
    <w:p w14:paraId="5310BCF7" w14:textId="77777777" w:rsidR="000B318F" w:rsidRDefault="000B318F" w:rsidP="008F2846">
      <w:pPr>
        <w:pStyle w:val="ListParagraph"/>
        <w:numPr>
          <w:ilvl w:val="0"/>
          <w:numId w:val="8"/>
        </w:numPr>
        <w:spacing w:after="200"/>
        <w:rPr>
          <w:rFonts w:eastAsia="Times New Roman"/>
        </w:rPr>
      </w:pPr>
      <w:r>
        <w:rPr>
          <w:rFonts w:eastAsia="Times New Roman"/>
        </w:rPr>
        <w:t xml:space="preserve">Section 2.1.2 under Pricing on page 24 states “ The total cost per hour stated for each individual shall a fully-loaded hourly rate </w:t>
      </w:r>
      <w:r>
        <w:rPr>
          <w:rFonts w:eastAsia="Times New Roman"/>
          <w:b/>
          <w:bCs/>
          <w:u w:val="single"/>
        </w:rPr>
        <w:t>inclusive</w:t>
      </w:r>
      <w:r>
        <w:rPr>
          <w:rFonts w:eastAsia="Times New Roman"/>
        </w:rPr>
        <w:t xml:space="preserve"> of salary, benefits, insurance, overhead, travel expenses, equipment expense, and other associated expenses not listed under Section 2.3.”</w:t>
      </w:r>
    </w:p>
    <w:p w14:paraId="1F33E334" w14:textId="69E6C040" w:rsidR="000B318F" w:rsidRDefault="000B318F" w:rsidP="000B318F">
      <w:r>
        <w:t> </w:t>
      </w:r>
      <w:r w:rsidR="008F2846">
        <w:tab/>
      </w:r>
      <w:r>
        <w:t>Section 2.3 on page 26 states “</w:t>
      </w:r>
      <w:r>
        <w:rPr>
          <w:b/>
          <w:bCs/>
        </w:rPr>
        <w:t xml:space="preserve">EXPENSES ALLOWED: </w:t>
      </w:r>
      <w:r>
        <w:t xml:space="preserve">Expenses [Box] are not allowed [Box </w:t>
      </w:r>
      <w:r w:rsidR="008F2846">
        <w:tab/>
      </w:r>
      <w:r>
        <w:t>checked] are allowed as follows:</w:t>
      </w:r>
    </w:p>
    <w:p w14:paraId="249FF7D7" w14:textId="77777777" w:rsidR="000B318F" w:rsidRDefault="000B318F" w:rsidP="000B318F">
      <w:r>
        <w:t> </w:t>
      </w:r>
    </w:p>
    <w:p w14:paraId="27F3C48E" w14:textId="0271EDB4" w:rsidR="000B318F" w:rsidRDefault="000B318F" w:rsidP="000B318F">
      <w:r>
        <w:rPr>
          <w:noProof/>
        </w:rPr>
        <w:lastRenderedPageBreak/>
        <w:drawing>
          <wp:inline distT="0" distB="0" distL="0" distR="0" wp14:anchorId="2F527519" wp14:editId="4FF4EE97">
            <wp:extent cx="5943600" cy="5711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84012" w14:textId="16EC1A45" w:rsidR="000B318F" w:rsidRDefault="000A1157" w:rsidP="00A241D8">
      <w:pPr>
        <w:tabs>
          <w:tab w:val="left" w:pos="720"/>
          <w:tab w:val="left" w:pos="900"/>
          <w:tab w:val="left" w:pos="1440"/>
        </w:tabs>
        <w:ind w:left="540"/>
      </w:pPr>
      <w:r>
        <w:tab/>
      </w:r>
      <w:r>
        <w:tab/>
      </w:r>
      <w:r w:rsidR="000B318F">
        <w:t xml:space="preserve">There appears to be a conflict between Sections 2.1.2 and 2.3.1.  If travel expenses are </w:t>
      </w:r>
      <w:r w:rsidR="008F2846">
        <w:tab/>
      </w:r>
      <w:r w:rsidR="00A241D8">
        <w:tab/>
      </w:r>
      <w:r w:rsidR="00A241D8">
        <w:tab/>
      </w:r>
      <w:r w:rsidR="000B318F">
        <w:t xml:space="preserve">to be included in the </w:t>
      </w:r>
      <w:proofErr w:type="gramStart"/>
      <w:r w:rsidR="000B318F">
        <w:t>fully-loaded</w:t>
      </w:r>
      <w:proofErr w:type="gramEnd"/>
      <w:r w:rsidR="000B318F">
        <w:t xml:space="preserve"> hourly rate, why are they listed as a reimbursable direct </w:t>
      </w:r>
      <w:r w:rsidR="00A241D8">
        <w:tab/>
      </w:r>
      <w:r w:rsidR="00A241D8">
        <w:tab/>
      </w:r>
      <w:r w:rsidR="00A241D8">
        <w:tab/>
      </w:r>
      <w:r w:rsidR="000B318F">
        <w:t>expense?</w:t>
      </w:r>
    </w:p>
    <w:p w14:paraId="164ECD21" w14:textId="700A986C" w:rsidR="000B318F" w:rsidRDefault="008F2846" w:rsidP="00A241D8">
      <w:pPr>
        <w:tabs>
          <w:tab w:val="left" w:pos="900"/>
        </w:tabs>
        <w:rPr>
          <w:color w:val="FF0000"/>
        </w:rPr>
      </w:pPr>
      <w:r>
        <w:tab/>
      </w:r>
      <w:r w:rsidRPr="008F2846">
        <w:rPr>
          <w:b/>
          <w:bCs/>
        </w:rPr>
        <w:t>Response:</w:t>
      </w:r>
      <w:r w:rsidR="000B318F">
        <w:t> </w:t>
      </w:r>
      <w:r w:rsidR="000B318F">
        <w:rPr>
          <w:color w:val="FF0000"/>
        </w:rPr>
        <w:t xml:space="preserve">Any in-state travel expense necessary to complete the required tasks can be </w:t>
      </w:r>
      <w:r>
        <w:rPr>
          <w:color w:val="FF0000"/>
        </w:rPr>
        <w:tab/>
      </w:r>
      <w:r>
        <w:rPr>
          <w:color w:val="FF0000"/>
        </w:rPr>
        <w:tab/>
      </w:r>
      <w:r w:rsidR="000B318F">
        <w:rPr>
          <w:color w:val="FF0000"/>
        </w:rPr>
        <w:t xml:space="preserve">billed per the chart in section 2.3.  Any other travel, such as staff traveling from out of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0B318F">
        <w:rPr>
          <w:color w:val="FF0000"/>
        </w:rPr>
        <w:t>state is considered overhead and to be included in the loaded hourly rate.</w:t>
      </w:r>
    </w:p>
    <w:p w14:paraId="6820359D" w14:textId="155A63AA" w:rsidR="000B318F" w:rsidRDefault="008A49AB" w:rsidP="00A241D8">
      <w:pPr>
        <w:tabs>
          <w:tab w:val="left" w:pos="900"/>
        </w:tabs>
      </w:pPr>
      <w:r>
        <w:tab/>
      </w:r>
      <w:r w:rsidR="000B318F">
        <w:t xml:space="preserve">Also, it is not clear from reading both sections how equipment expenses are to be </w:t>
      </w:r>
      <w:r>
        <w:tab/>
      </w:r>
      <w:r>
        <w:tab/>
      </w:r>
      <w:r>
        <w:tab/>
      </w:r>
      <w:r w:rsidR="000B318F">
        <w:t>reimbursed.</w:t>
      </w:r>
    </w:p>
    <w:p w14:paraId="36B5C4F1" w14:textId="6186663C" w:rsidR="000B318F" w:rsidRDefault="008A49AB" w:rsidP="00A241D8">
      <w:pPr>
        <w:tabs>
          <w:tab w:val="left" w:pos="900"/>
        </w:tabs>
        <w:rPr>
          <w:color w:val="FF0000"/>
        </w:rPr>
      </w:pPr>
      <w:r>
        <w:rPr>
          <w:color w:val="FF0000"/>
        </w:rPr>
        <w:tab/>
      </w:r>
      <w:r w:rsidRPr="00A24955">
        <w:rPr>
          <w:b/>
          <w:bCs/>
        </w:rPr>
        <w:t>Response</w:t>
      </w:r>
      <w:r w:rsidR="00A24955" w:rsidRPr="00A24955">
        <w:rPr>
          <w:b/>
          <w:bCs/>
        </w:rPr>
        <w:t>:</w:t>
      </w:r>
      <w:r w:rsidR="00A24955">
        <w:rPr>
          <w:color w:val="FF0000"/>
        </w:rPr>
        <w:t xml:space="preserve"> </w:t>
      </w:r>
      <w:r w:rsidR="000B318F">
        <w:rPr>
          <w:color w:val="FF0000"/>
        </w:rPr>
        <w:t xml:space="preserve">Any equipment listed in the chart in section 2.3 may be billed per the chart, </w:t>
      </w:r>
      <w:r w:rsidR="00A24955">
        <w:rPr>
          <w:color w:val="FF0000"/>
        </w:rPr>
        <w:tab/>
      </w:r>
      <w:r w:rsidR="00A24955">
        <w:rPr>
          <w:color w:val="FF0000"/>
        </w:rPr>
        <w:tab/>
      </w:r>
      <w:r w:rsidR="000B318F">
        <w:rPr>
          <w:color w:val="FF0000"/>
        </w:rPr>
        <w:t xml:space="preserve">any other equipment not listed is considered overhead and should be included in the </w:t>
      </w:r>
      <w:r w:rsidR="00A24955">
        <w:rPr>
          <w:color w:val="FF0000"/>
        </w:rPr>
        <w:tab/>
      </w:r>
      <w:r w:rsidR="00A24955">
        <w:rPr>
          <w:color w:val="FF0000"/>
        </w:rPr>
        <w:tab/>
      </w:r>
      <w:r w:rsidR="00A24955">
        <w:rPr>
          <w:color w:val="FF0000"/>
        </w:rPr>
        <w:tab/>
      </w:r>
      <w:r w:rsidR="000B318F">
        <w:rPr>
          <w:color w:val="FF0000"/>
        </w:rPr>
        <w:t>loaded hourly rate.</w:t>
      </w:r>
    </w:p>
    <w:p w14:paraId="76512385" w14:textId="13A585A0" w:rsidR="000B318F" w:rsidRPr="00A241D8" w:rsidRDefault="000A1157" w:rsidP="00A241D8">
      <w:pPr>
        <w:ind w:left="360"/>
        <w:rPr>
          <w:rFonts w:eastAsia="Times New Roman"/>
        </w:rPr>
      </w:pPr>
      <w:r>
        <w:rPr>
          <w:rFonts w:eastAsia="Times New Roman"/>
        </w:rPr>
        <w:lastRenderedPageBreak/>
        <w:t>7</w:t>
      </w:r>
      <w:r w:rsidR="00A241D8">
        <w:rPr>
          <w:rFonts w:eastAsia="Times New Roman"/>
        </w:rPr>
        <w:t>.</w:t>
      </w:r>
      <w:r w:rsidR="00A241D8">
        <w:rPr>
          <w:rFonts w:eastAsia="Times New Roman"/>
        </w:rPr>
        <w:tab/>
      </w:r>
      <w:r w:rsidR="000B318F" w:rsidRPr="00A241D8">
        <w:rPr>
          <w:rFonts w:eastAsia="Times New Roman"/>
        </w:rPr>
        <w:t xml:space="preserve">Attachment NN, Section 2.11.2.2 on page 71 requires the entry of relevant NAICS codes for each </w:t>
      </w:r>
      <w:r w:rsidR="00A241D8">
        <w:rPr>
          <w:rFonts w:eastAsia="Times New Roman"/>
        </w:rPr>
        <w:tab/>
      </w:r>
      <w:r w:rsidR="000B318F" w:rsidRPr="00A241D8">
        <w:rPr>
          <w:rFonts w:eastAsia="Times New Roman"/>
        </w:rPr>
        <w:t>DBE subcontractor.  Which NAICS codes are relevant to this contract?</w:t>
      </w:r>
    </w:p>
    <w:p w14:paraId="2C35D0FF" w14:textId="67448AD0" w:rsidR="005D7E7F" w:rsidRDefault="000B318F" w:rsidP="005D7E7F">
      <w:pPr>
        <w:rPr>
          <w:color w:val="FF0000"/>
        </w:rPr>
      </w:pPr>
      <w:r>
        <w:t> </w:t>
      </w:r>
      <w:r w:rsidR="00710B09">
        <w:tab/>
      </w:r>
      <w:r w:rsidR="00710B09" w:rsidRPr="00844F68">
        <w:rPr>
          <w:b/>
          <w:bCs/>
        </w:rPr>
        <w:t>Response:</w:t>
      </w:r>
      <w:r w:rsidR="00710B09">
        <w:t xml:space="preserve"> </w:t>
      </w:r>
      <w:r w:rsidR="00844F68" w:rsidRPr="00844F68">
        <w:rPr>
          <w:color w:val="FF0000"/>
        </w:rPr>
        <w:t xml:space="preserve">Section </w:t>
      </w:r>
      <w:r w:rsidR="005D7E7F" w:rsidRPr="00844F68">
        <w:rPr>
          <w:color w:val="FF0000"/>
          <w:spacing w:val="1"/>
        </w:rPr>
        <w:t>7</w:t>
      </w:r>
      <w:r w:rsidR="005D7E7F" w:rsidRPr="00844F68">
        <w:rPr>
          <w:color w:val="FF0000"/>
          <w:spacing w:val="-1"/>
        </w:rPr>
        <w:t>.</w:t>
      </w:r>
      <w:r w:rsidR="005D7E7F" w:rsidRPr="00844F68">
        <w:rPr>
          <w:color w:val="FF0000"/>
          <w:spacing w:val="1"/>
        </w:rPr>
        <w:t>11</w:t>
      </w:r>
      <w:r w:rsidR="005D7E7F" w:rsidRPr="00844F68">
        <w:rPr>
          <w:color w:val="FF0000"/>
          <w:spacing w:val="-3"/>
        </w:rPr>
        <w:t>.</w:t>
      </w:r>
      <w:r w:rsidR="005D7E7F" w:rsidRPr="00844F68">
        <w:rPr>
          <w:color w:val="FF0000"/>
          <w:spacing w:val="1"/>
        </w:rPr>
        <w:t>2</w:t>
      </w:r>
      <w:r w:rsidR="005D7E7F" w:rsidRPr="00844F68">
        <w:rPr>
          <w:color w:val="FF0000"/>
          <w:spacing w:val="-1"/>
        </w:rPr>
        <w:t>.</w:t>
      </w:r>
      <w:r w:rsidR="005D7E7F" w:rsidRPr="00844F68">
        <w:rPr>
          <w:color w:val="FF0000"/>
          <w:spacing w:val="1"/>
        </w:rPr>
        <w:t>2</w:t>
      </w:r>
      <w:r w:rsidR="00844F68" w:rsidRPr="00844F68">
        <w:rPr>
          <w:color w:val="FF0000"/>
        </w:rPr>
        <w:t xml:space="preserve"> is revised to state “</w:t>
      </w:r>
      <w:r w:rsidR="005D7E7F" w:rsidRPr="00844F68">
        <w:rPr>
          <w:color w:val="FF0000"/>
        </w:rPr>
        <w:t>A</w:t>
      </w:r>
      <w:r w:rsidR="005D7E7F" w:rsidRPr="00844F68">
        <w:rPr>
          <w:color w:val="FF0000"/>
          <w:spacing w:val="19"/>
        </w:rPr>
        <w:t xml:space="preserve"> </w:t>
      </w:r>
      <w:r w:rsidR="005D7E7F" w:rsidRPr="00844F68">
        <w:rPr>
          <w:color w:val="FF0000"/>
          <w:spacing w:val="-1"/>
        </w:rPr>
        <w:t>d</w:t>
      </w:r>
      <w:r w:rsidR="005D7E7F" w:rsidRPr="00844F68">
        <w:rPr>
          <w:color w:val="FF0000"/>
          <w:spacing w:val="1"/>
        </w:rPr>
        <w:t>e</w:t>
      </w:r>
      <w:r w:rsidR="005D7E7F" w:rsidRPr="00844F68">
        <w:rPr>
          <w:color w:val="FF0000"/>
        </w:rPr>
        <w:t>tailed</w:t>
      </w:r>
      <w:r w:rsidR="005D7E7F" w:rsidRPr="00844F68">
        <w:rPr>
          <w:color w:val="FF0000"/>
          <w:spacing w:val="19"/>
        </w:rPr>
        <w:t xml:space="preserve"> </w:t>
      </w:r>
      <w:r w:rsidR="005D7E7F" w:rsidRPr="00844F68">
        <w:rPr>
          <w:color w:val="FF0000"/>
          <w:spacing w:val="-3"/>
        </w:rPr>
        <w:t>d</w:t>
      </w:r>
      <w:r w:rsidR="005D7E7F" w:rsidRPr="00844F68">
        <w:rPr>
          <w:color w:val="FF0000"/>
          <w:spacing w:val="1"/>
        </w:rPr>
        <w:t>e</w:t>
      </w:r>
      <w:r w:rsidR="005D7E7F" w:rsidRPr="00844F68">
        <w:rPr>
          <w:color w:val="FF0000"/>
        </w:rPr>
        <w:t>scri</w:t>
      </w:r>
      <w:r w:rsidR="005D7E7F" w:rsidRPr="00844F68">
        <w:rPr>
          <w:color w:val="FF0000"/>
          <w:spacing w:val="-1"/>
        </w:rPr>
        <w:t>p</w:t>
      </w:r>
      <w:r w:rsidR="005D7E7F" w:rsidRPr="00844F68">
        <w:rPr>
          <w:color w:val="FF0000"/>
        </w:rPr>
        <w:t>t</w:t>
      </w:r>
      <w:r w:rsidR="005D7E7F" w:rsidRPr="00844F68">
        <w:rPr>
          <w:color w:val="FF0000"/>
          <w:spacing w:val="-3"/>
        </w:rPr>
        <w:t>i</w:t>
      </w:r>
      <w:r w:rsidR="005D7E7F" w:rsidRPr="00844F68">
        <w:rPr>
          <w:color w:val="FF0000"/>
          <w:spacing w:val="1"/>
        </w:rPr>
        <w:t>o</w:t>
      </w:r>
      <w:r w:rsidR="005D7E7F" w:rsidRPr="00844F68">
        <w:rPr>
          <w:color w:val="FF0000"/>
        </w:rPr>
        <w:t>n</w:t>
      </w:r>
      <w:r w:rsidR="005D7E7F" w:rsidRPr="00844F68">
        <w:rPr>
          <w:color w:val="FF0000"/>
          <w:spacing w:val="17"/>
        </w:rPr>
        <w:t xml:space="preserve"> </w:t>
      </w:r>
      <w:r w:rsidR="005D7E7F" w:rsidRPr="00844F68">
        <w:rPr>
          <w:color w:val="FF0000"/>
          <w:spacing w:val="1"/>
        </w:rPr>
        <w:t>o</w:t>
      </w:r>
      <w:r w:rsidR="005D7E7F" w:rsidRPr="00844F68">
        <w:rPr>
          <w:color w:val="FF0000"/>
        </w:rPr>
        <w:t>f</w:t>
      </w:r>
      <w:r w:rsidR="005D7E7F" w:rsidRPr="00844F68">
        <w:rPr>
          <w:color w:val="FF0000"/>
          <w:spacing w:val="20"/>
        </w:rPr>
        <w:t xml:space="preserve"> </w:t>
      </w:r>
      <w:r w:rsidR="005D7E7F" w:rsidRPr="00844F68">
        <w:rPr>
          <w:color w:val="FF0000"/>
          <w:spacing w:val="-2"/>
        </w:rPr>
        <w:t>t</w:t>
      </w:r>
      <w:r w:rsidR="005D7E7F" w:rsidRPr="00844F68">
        <w:rPr>
          <w:color w:val="FF0000"/>
          <w:spacing w:val="-1"/>
        </w:rPr>
        <w:t>h</w:t>
      </w:r>
      <w:r w:rsidR="005D7E7F" w:rsidRPr="00844F68">
        <w:rPr>
          <w:color w:val="FF0000"/>
        </w:rPr>
        <w:t>e</w:t>
      </w:r>
      <w:r w:rsidR="005D7E7F" w:rsidRPr="00844F68">
        <w:rPr>
          <w:color w:val="FF0000"/>
          <w:spacing w:val="20"/>
        </w:rPr>
        <w:t xml:space="preserve"> </w:t>
      </w:r>
      <w:r w:rsidR="005D7E7F" w:rsidRPr="00844F68">
        <w:rPr>
          <w:color w:val="FF0000"/>
        </w:rPr>
        <w:t>c</w:t>
      </w:r>
      <w:r w:rsidR="005D7E7F" w:rsidRPr="00844F68">
        <w:rPr>
          <w:color w:val="FF0000"/>
          <w:spacing w:val="-1"/>
        </w:rPr>
        <w:t>om</w:t>
      </w:r>
      <w:r w:rsidR="005D7E7F" w:rsidRPr="00844F68">
        <w:rPr>
          <w:color w:val="FF0000"/>
          <w:spacing w:val="1"/>
        </w:rPr>
        <w:t>me</w:t>
      </w:r>
      <w:r w:rsidR="005D7E7F" w:rsidRPr="00844F68">
        <w:rPr>
          <w:color w:val="FF0000"/>
          <w:spacing w:val="-3"/>
        </w:rPr>
        <w:t>r</w:t>
      </w:r>
      <w:r w:rsidR="005D7E7F" w:rsidRPr="00844F68">
        <w:rPr>
          <w:color w:val="FF0000"/>
        </w:rPr>
        <w:t>cially</w:t>
      </w:r>
      <w:r w:rsidR="005D7E7F" w:rsidRPr="00844F68">
        <w:rPr>
          <w:color w:val="FF0000"/>
          <w:spacing w:val="18"/>
        </w:rPr>
        <w:t xml:space="preserve"> </w:t>
      </w:r>
      <w:r w:rsidR="00844F68" w:rsidRPr="00844F68">
        <w:rPr>
          <w:color w:val="FF0000"/>
          <w:spacing w:val="18"/>
        </w:rPr>
        <w:tab/>
      </w:r>
      <w:r w:rsidR="005D7E7F" w:rsidRPr="00844F68">
        <w:rPr>
          <w:color w:val="FF0000"/>
          <w:spacing w:val="-1"/>
        </w:rPr>
        <w:t>u</w:t>
      </w:r>
      <w:r w:rsidR="005D7E7F" w:rsidRPr="00844F68">
        <w:rPr>
          <w:color w:val="FF0000"/>
        </w:rPr>
        <w:t>s</w:t>
      </w:r>
      <w:r w:rsidR="005D7E7F" w:rsidRPr="00844F68">
        <w:rPr>
          <w:color w:val="FF0000"/>
          <w:spacing w:val="1"/>
        </w:rPr>
        <w:t>e</w:t>
      </w:r>
      <w:r w:rsidR="005D7E7F" w:rsidRPr="00844F68">
        <w:rPr>
          <w:color w:val="FF0000"/>
        </w:rPr>
        <w:t>f</w:t>
      </w:r>
      <w:r w:rsidR="005D7E7F" w:rsidRPr="00844F68">
        <w:rPr>
          <w:color w:val="FF0000"/>
          <w:spacing w:val="-1"/>
        </w:rPr>
        <w:t>u</w:t>
      </w:r>
      <w:r w:rsidR="005D7E7F" w:rsidRPr="00844F68">
        <w:rPr>
          <w:color w:val="FF0000"/>
        </w:rPr>
        <w:t>l</w:t>
      </w:r>
      <w:r w:rsidR="005D7E7F" w:rsidRPr="00844F68">
        <w:rPr>
          <w:color w:val="FF0000"/>
          <w:spacing w:val="17"/>
        </w:rPr>
        <w:t xml:space="preserve"> </w:t>
      </w:r>
      <w:r w:rsidR="005D7E7F" w:rsidRPr="00844F68">
        <w:rPr>
          <w:color w:val="FF0000"/>
        </w:rPr>
        <w:t>w</w:t>
      </w:r>
      <w:r w:rsidR="005D7E7F" w:rsidRPr="00844F68">
        <w:rPr>
          <w:color w:val="FF0000"/>
          <w:spacing w:val="-1"/>
        </w:rPr>
        <w:t>o</w:t>
      </w:r>
      <w:r w:rsidR="005D7E7F" w:rsidRPr="00844F68">
        <w:rPr>
          <w:color w:val="FF0000"/>
        </w:rPr>
        <w:t>rk</w:t>
      </w:r>
      <w:r w:rsidR="005D7E7F" w:rsidRPr="00844F68">
        <w:rPr>
          <w:color w:val="FF0000"/>
          <w:spacing w:val="20"/>
        </w:rPr>
        <w:t xml:space="preserve"> </w:t>
      </w:r>
      <w:r w:rsidR="005D7E7F" w:rsidRPr="00844F68">
        <w:rPr>
          <w:color w:val="FF0000"/>
          <w:spacing w:val="-2"/>
        </w:rPr>
        <w:t>t</w:t>
      </w:r>
      <w:r w:rsidR="005D7E7F" w:rsidRPr="00844F68">
        <w:rPr>
          <w:color w:val="FF0000"/>
        </w:rPr>
        <w:t>o</w:t>
      </w:r>
      <w:r w:rsidR="005D7E7F" w:rsidRPr="00844F68">
        <w:rPr>
          <w:color w:val="FF0000"/>
          <w:spacing w:val="21"/>
        </w:rPr>
        <w:t xml:space="preserve"> </w:t>
      </w:r>
      <w:r w:rsidR="005D7E7F" w:rsidRPr="00844F68">
        <w:rPr>
          <w:color w:val="FF0000"/>
          <w:spacing w:val="-1"/>
        </w:rPr>
        <w:t>b</w:t>
      </w:r>
      <w:r w:rsidR="005D7E7F" w:rsidRPr="00844F68">
        <w:rPr>
          <w:color w:val="FF0000"/>
        </w:rPr>
        <w:t>e</w:t>
      </w:r>
      <w:r w:rsidR="005D7E7F" w:rsidRPr="00844F68">
        <w:rPr>
          <w:color w:val="FF0000"/>
          <w:spacing w:val="18"/>
        </w:rPr>
        <w:t xml:space="preserve"> </w:t>
      </w:r>
      <w:r w:rsidR="005D7E7F" w:rsidRPr="00844F68">
        <w:rPr>
          <w:color w:val="FF0000"/>
          <w:spacing w:val="-1"/>
        </w:rPr>
        <w:t>d</w:t>
      </w:r>
      <w:r w:rsidR="005D7E7F" w:rsidRPr="00844F68">
        <w:rPr>
          <w:color w:val="FF0000"/>
          <w:spacing w:val="1"/>
        </w:rPr>
        <w:t>o</w:t>
      </w:r>
      <w:r w:rsidR="005D7E7F" w:rsidRPr="00844F68">
        <w:rPr>
          <w:color w:val="FF0000"/>
          <w:spacing w:val="-1"/>
        </w:rPr>
        <w:t>n</w:t>
      </w:r>
      <w:r w:rsidR="005D7E7F" w:rsidRPr="00844F68">
        <w:rPr>
          <w:color w:val="FF0000"/>
        </w:rPr>
        <w:t>e</w:t>
      </w:r>
      <w:r w:rsidR="005D7E7F" w:rsidRPr="00844F68">
        <w:rPr>
          <w:color w:val="FF0000"/>
          <w:spacing w:val="18"/>
        </w:rPr>
        <w:t xml:space="preserve"> </w:t>
      </w:r>
      <w:r w:rsidR="005D7E7F" w:rsidRPr="00844F68">
        <w:rPr>
          <w:color w:val="FF0000"/>
          <w:spacing w:val="-1"/>
        </w:rPr>
        <w:t>b</w:t>
      </w:r>
      <w:r w:rsidR="005D7E7F" w:rsidRPr="00844F68">
        <w:rPr>
          <w:color w:val="FF0000"/>
        </w:rPr>
        <w:t>y</w:t>
      </w:r>
      <w:r w:rsidR="005D7E7F" w:rsidRPr="00844F68">
        <w:rPr>
          <w:color w:val="FF0000"/>
          <w:spacing w:val="18"/>
        </w:rPr>
        <w:t xml:space="preserve"> </w:t>
      </w:r>
      <w:r w:rsidR="005D7E7F" w:rsidRPr="00844F68">
        <w:rPr>
          <w:color w:val="FF0000"/>
        </w:rPr>
        <w:t>t</w:t>
      </w:r>
      <w:r w:rsidR="005D7E7F" w:rsidRPr="00844F68">
        <w:rPr>
          <w:color w:val="FF0000"/>
          <w:spacing w:val="-1"/>
        </w:rPr>
        <w:t>h</w:t>
      </w:r>
      <w:r w:rsidR="005D7E7F" w:rsidRPr="00844F68">
        <w:rPr>
          <w:color w:val="FF0000"/>
        </w:rPr>
        <w:t>is</w:t>
      </w:r>
      <w:r w:rsidR="005D7E7F" w:rsidRPr="00844F68">
        <w:rPr>
          <w:color w:val="FF0000"/>
          <w:spacing w:val="17"/>
        </w:rPr>
        <w:t xml:space="preserve"> </w:t>
      </w:r>
      <w:r w:rsidR="005D7E7F" w:rsidRPr="00844F68">
        <w:rPr>
          <w:color w:val="FF0000"/>
          <w:spacing w:val="17"/>
        </w:rPr>
        <w:tab/>
      </w:r>
      <w:r w:rsidR="005D7E7F" w:rsidRPr="00844F68">
        <w:rPr>
          <w:color w:val="FF0000"/>
          <w:spacing w:val="1"/>
        </w:rPr>
        <w:t>D</w:t>
      </w:r>
      <w:r w:rsidR="005D7E7F" w:rsidRPr="00844F68">
        <w:rPr>
          <w:color w:val="FF0000"/>
          <w:spacing w:val="-2"/>
        </w:rPr>
        <w:t>B</w:t>
      </w:r>
      <w:r w:rsidR="005D7E7F" w:rsidRPr="00844F68">
        <w:rPr>
          <w:color w:val="FF0000"/>
        </w:rPr>
        <w:t>E as</w:t>
      </w:r>
      <w:r w:rsidR="005D7E7F" w:rsidRPr="00844F68">
        <w:rPr>
          <w:color w:val="FF0000"/>
          <w:spacing w:val="1"/>
        </w:rPr>
        <w:t xml:space="preserve"> </w:t>
      </w:r>
      <w:r w:rsidR="005D7E7F" w:rsidRPr="00844F68">
        <w:rPr>
          <w:color w:val="FF0000"/>
          <w:spacing w:val="-3"/>
        </w:rPr>
        <w:t>f</w:t>
      </w:r>
      <w:r w:rsidR="005D7E7F" w:rsidRPr="00844F68">
        <w:rPr>
          <w:color w:val="FF0000"/>
          <w:spacing w:val="1"/>
        </w:rPr>
        <w:t>o</w:t>
      </w:r>
      <w:r w:rsidR="005D7E7F" w:rsidRPr="00844F68">
        <w:rPr>
          <w:color w:val="FF0000"/>
        </w:rPr>
        <w:t>ll</w:t>
      </w:r>
      <w:r w:rsidR="005D7E7F" w:rsidRPr="00844F68">
        <w:rPr>
          <w:color w:val="FF0000"/>
          <w:spacing w:val="-1"/>
        </w:rPr>
        <w:t>o</w:t>
      </w:r>
      <w:r w:rsidR="005D7E7F" w:rsidRPr="00844F68">
        <w:rPr>
          <w:color w:val="FF0000"/>
        </w:rPr>
        <w:t>ws</w:t>
      </w:r>
      <w:r w:rsidR="00844F68" w:rsidRPr="00844F68">
        <w:rPr>
          <w:color w:val="FF0000"/>
        </w:rPr>
        <w:t>”</w:t>
      </w:r>
      <w:r w:rsidR="005D7E7F" w:rsidRPr="00844F68">
        <w:rPr>
          <w:color w:val="FF0000"/>
        </w:rPr>
        <w:t>:</w:t>
      </w:r>
    </w:p>
    <w:p w14:paraId="4B8E3556" w14:textId="29807C3B" w:rsidR="00A241D8" w:rsidRDefault="00A241D8" w:rsidP="005D7E7F">
      <w:r>
        <w:rPr>
          <w:color w:val="FF0000"/>
        </w:rPr>
        <w:tab/>
      </w:r>
      <w:r w:rsidRPr="00A241D8">
        <w:rPr>
          <w:color w:val="FF0000"/>
        </w:rPr>
        <w:t>R</w:t>
      </w:r>
      <w:r w:rsidRPr="00A241D8">
        <w:rPr>
          <w:rFonts w:eastAsia="Times New Roman"/>
          <w:color w:val="FF0000"/>
        </w:rPr>
        <w:t>elevant NAICS codes is removed from this section.</w:t>
      </w:r>
    </w:p>
    <w:p w14:paraId="28CB2F23" w14:textId="479285DB" w:rsidR="000B318F" w:rsidRDefault="000B318F" w:rsidP="00A512CB">
      <w:pPr>
        <w:tabs>
          <w:tab w:val="left" w:pos="360"/>
        </w:tabs>
        <w:rPr>
          <w:rFonts w:eastAsia="Times New Roman"/>
        </w:rPr>
      </w:pPr>
      <w:r>
        <w:t> </w:t>
      </w:r>
      <w:r w:rsidR="00A512CB">
        <w:tab/>
      </w:r>
      <w:r w:rsidR="000A1157">
        <w:t>8</w:t>
      </w:r>
      <w:r w:rsidR="00A512CB">
        <w:t xml:space="preserve">. </w:t>
      </w:r>
      <w:r w:rsidR="00A512CB">
        <w:tab/>
      </w:r>
      <w:r>
        <w:rPr>
          <w:rFonts w:eastAsia="Times New Roman"/>
        </w:rPr>
        <w:t>Are anticipated direct expenses to be included on Attachment NN, Section 7.11.2.3 on page 71?</w:t>
      </w:r>
    </w:p>
    <w:p w14:paraId="1F9225A1" w14:textId="1CC351FD" w:rsidR="00A24955" w:rsidRDefault="00A24955" w:rsidP="00710B09">
      <w:pPr>
        <w:pStyle w:val="ListParagraph"/>
        <w:spacing w:after="200"/>
        <w:rPr>
          <w:rFonts w:eastAsia="Times New Roman"/>
        </w:rPr>
      </w:pPr>
      <w:r w:rsidRPr="00A24955">
        <w:rPr>
          <w:rFonts w:eastAsia="Times New Roman"/>
          <w:b/>
          <w:bCs/>
        </w:rPr>
        <w:t>Response:</w:t>
      </w:r>
      <w:r>
        <w:rPr>
          <w:rFonts w:eastAsia="Times New Roman"/>
        </w:rPr>
        <w:t xml:space="preserve">  </w:t>
      </w:r>
      <w:r w:rsidRPr="00A24955">
        <w:rPr>
          <w:rFonts w:eastAsia="Times New Roman"/>
          <w:color w:val="FF0000"/>
        </w:rPr>
        <w:t>leave this section blank.</w:t>
      </w:r>
    </w:p>
    <w:p w14:paraId="52AFE66F" w14:textId="2EBCC82C" w:rsidR="00710B09" w:rsidRDefault="000A1157" w:rsidP="00710B09">
      <w:pPr>
        <w:ind w:left="360"/>
      </w:pPr>
      <w:r>
        <w:t>9</w:t>
      </w:r>
      <w:r w:rsidR="00710B09">
        <w:t>.</w:t>
      </w:r>
      <w:r w:rsidR="00710B09">
        <w:tab/>
        <w:t xml:space="preserve">Are the 4,500 hours in the odd number years under Support Staff intended to provide the </w:t>
      </w:r>
      <w:r w:rsidR="00710B09">
        <w:tab/>
        <w:t>necessary resources for both inventories?  If not, when will junkyard inventories be required?</w:t>
      </w:r>
    </w:p>
    <w:p w14:paraId="5D90BC90" w14:textId="23861555" w:rsidR="0034511A" w:rsidRPr="0044179A" w:rsidRDefault="00710B09" w:rsidP="00710B09">
      <w:pPr>
        <w:spacing w:before="240"/>
        <w:rPr>
          <w:rFonts w:eastAsia="Times New Roman"/>
          <w:color w:val="FF0000"/>
        </w:rPr>
      </w:pPr>
      <w:r>
        <w:rPr>
          <w:color w:val="FF0000"/>
        </w:rPr>
        <w:tab/>
      </w:r>
      <w:r w:rsidRPr="00710B09">
        <w:rPr>
          <w:b/>
          <w:bCs/>
        </w:rPr>
        <w:t>Response:</w:t>
      </w:r>
      <w:r w:rsidRPr="00710B09">
        <w:t xml:space="preserve">  </w:t>
      </w:r>
      <w:r>
        <w:rPr>
          <w:color w:val="FF0000"/>
        </w:rPr>
        <w:t xml:space="preserve">Yes. The additional hours for Support Staff, Project Manager, and Project Engineer </w:t>
      </w:r>
      <w:r>
        <w:rPr>
          <w:color w:val="FF0000"/>
        </w:rPr>
        <w:tab/>
        <w:t>are to account for the additional work needed for both the sign and junkyard inventories.</w:t>
      </w:r>
    </w:p>
    <w:sectPr w:rsidR="0034511A" w:rsidRPr="0044179A" w:rsidSect="000B318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BCE0D" w14:textId="77777777" w:rsidR="000B318F" w:rsidRDefault="000B318F" w:rsidP="000B318F">
      <w:pPr>
        <w:spacing w:after="0" w:line="240" w:lineRule="auto"/>
      </w:pPr>
      <w:r>
        <w:separator/>
      </w:r>
    </w:p>
  </w:endnote>
  <w:endnote w:type="continuationSeparator" w:id="0">
    <w:p w14:paraId="4C4F14DB" w14:textId="77777777" w:rsidR="000B318F" w:rsidRDefault="000B318F" w:rsidP="000B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62727" w14:textId="77777777" w:rsidR="000B318F" w:rsidRDefault="000B318F" w:rsidP="000B318F">
      <w:pPr>
        <w:spacing w:after="0" w:line="240" w:lineRule="auto"/>
      </w:pPr>
      <w:r>
        <w:separator/>
      </w:r>
    </w:p>
  </w:footnote>
  <w:footnote w:type="continuationSeparator" w:id="0">
    <w:p w14:paraId="71B9FCD5" w14:textId="77777777" w:rsidR="000B318F" w:rsidRDefault="000B318F" w:rsidP="000B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211F"/>
    <w:multiLevelType w:val="multilevel"/>
    <w:tmpl w:val="C05E5AB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9BB723C"/>
    <w:multiLevelType w:val="hybridMultilevel"/>
    <w:tmpl w:val="52E696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0D55B3"/>
    <w:multiLevelType w:val="hybridMultilevel"/>
    <w:tmpl w:val="59185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24330"/>
    <w:multiLevelType w:val="multilevel"/>
    <w:tmpl w:val="21922770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" w15:restartNumberingAfterBreak="0">
    <w:nsid w:val="3EF86657"/>
    <w:multiLevelType w:val="hybridMultilevel"/>
    <w:tmpl w:val="1874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F2FEA"/>
    <w:multiLevelType w:val="hybridMultilevel"/>
    <w:tmpl w:val="FBBC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D417C"/>
    <w:multiLevelType w:val="multilevel"/>
    <w:tmpl w:val="066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B2F5E"/>
    <w:multiLevelType w:val="hybridMultilevel"/>
    <w:tmpl w:val="23DC2006"/>
    <w:lvl w:ilvl="0" w:tplc="06622E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FA"/>
    <w:rsid w:val="00020A61"/>
    <w:rsid w:val="000A1157"/>
    <w:rsid w:val="000B318F"/>
    <w:rsid w:val="000C39C3"/>
    <w:rsid w:val="000C7F3D"/>
    <w:rsid w:val="001723FF"/>
    <w:rsid w:val="001803C1"/>
    <w:rsid w:val="002B46D7"/>
    <w:rsid w:val="003302B9"/>
    <w:rsid w:val="0034511A"/>
    <w:rsid w:val="00355B0F"/>
    <w:rsid w:val="003D4C20"/>
    <w:rsid w:val="00432F4C"/>
    <w:rsid w:val="0044179A"/>
    <w:rsid w:val="004604B9"/>
    <w:rsid w:val="005817A9"/>
    <w:rsid w:val="005D1A55"/>
    <w:rsid w:val="005D7E7F"/>
    <w:rsid w:val="005E4DEF"/>
    <w:rsid w:val="00630765"/>
    <w:rsid w:val="00710B09"/>
    <w:rsid w:val="00711307"/>
    <w:rsid w:val="00727AB4"/>
    <w:rsid w:val="00821054"/>
    <w:rsid w:val="00844F68"/>
    <w:rsid w:val="008A49AB"/>
    <w:rsid w:val="008F2846"/>
    <w:rsid w:val="00911EB1"/>
    <w:rsid w:val="00995D60"/>
    <w:rsid w:val="0099614E"/>
    <w:rsid w:val="00A241D8"/>
    <w:rsid w:val="00A24955"/>
    <w:rsid w:val="00A512CB"/>
    <w:rsid w:val="00A55936"/>
    <w:rsid w:val="00AC64AA"/>
    <w:rsid w:val="00AF529F"/>
    <w:rsid w:val="00B85916"/>
    <w:rsid w:val="00C44C63"/>
    <w:rsid w:val="00C838E1"/>
    <w:rsid w:val="00C9759B"/>
    <w:rsid w:val="00D1025E"/>
    <w:rsid w:val="00D15C7D"/>
    <w:rsid w:val="00D37A7A"/>
    <w:rsid w:val="00D67A9A"/>
    <w:rsid w:val="00DA397C"/>
    <w:rsid w:val="00E30DEC"/>
    <w:rsid w:val="00EB5824"/>
    <w:rsid w:val="00EC37E7"/>
    <w:rsid w:val="00F007FA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3296"/>
  <w15:chartTrackingRefBased/>
  <w15:docId w15:val="{71483C06-8620-4CE4-A17B-0C576A99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Style">
    <w:name w:val="OGC Style"/>
    <w:basedOn w:val="Normal"/>
    <w:qFormat/>
    <w:rsid w:val="00B85916"/>
    <w:p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MyogcProperties">
    <w:name w:val="My ogc Properties"/>
    <w:basedOn w:val="OGCStyle"/>
    <w:qFormat/>
    <w:rsid w:val="00B85916"/>
  </w:style>
  <w:style w:type="character" w:customStyle="1" w:styleId="OGC">
    <w:name w:val="OGC"/>
    <w:basedOn w:val="DefaultParagraphFont"/>
    <w:uiPriority w:val="1"/>
    <w:qFormat/>
    <w:rsid w:val="00B85916"/>
    <w:rPr>
      <w:b/>
      <w:color w:val="FF0000"/>
    </w:rPr>
  </w:style>
  <w:style w:type="character" w:customStyle="1" w:styleId="MyOgc">
    <w:name w:val="My Ogc"/>
    <w:basedOn w:val="DefaultParagraphFont"/>
    <w:uiPriority w:val="1"/>
    <w:qFormat/>
    <w:rsid w:val="00995D60"/>
    <w:rPr>
      <w:b/>
      <w:smallCaps/>
    </w:rPr>
  </w:style>
  <w:style w:type="paragraph" w:styleId="ListParagraph">
    <w:name w:val="List Paragraph"/>
    <w:basedOn w:val="Normal"/>
    <w:link w:val="ListParagraphChar"/>
    <w:uiPriority w:val="34"/>
    <w:qFormat/>
    <w:rsid w:val="0034511A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1803C1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1803C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03C1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15C7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A55936"/>
    <w:rPr>
      <w:rFonts w:ascii="Arial Narrow" w:hAnsi="Arial Narrow" w:cs="Times New Roman"/>
      <w:color w:val="0000FF"/>
      <w:sz w:val="20"/>
      <w:u w:val="single"/>
    </w:rPr>
  </w:style>
  <w:style w:type="character" w:customStyle="1" w:styleId="Style11">
    <w:name w:val="Style11"/>
    <w:basedOn w:val="DefaultParagraphFont"/>
    <w:uiPriority w:val="1"/>
    <w:rsid w:val="00A55936"/>
    <w:rPr>
      <w:rFonts w:asciiTheme="minorHAnsi" w:hAnsiTheme="minorHAnsi"/>
      <w:color w:val="000000" w:themeColor="text1"/>
      <w:sz w:val="22"/>
    </w:rPr>
  </w:style>
  <w:style w:type="paragraph" w:customStyle="1" w:styleId="xmsonormal">
    <w:name w:val="x_msonormal"/>
    <w:basedOn w:val="Normal"/>
    <w:rsid w:val="00821054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7F586.D8DE9E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4CE9-2572-4E86-B589-E9BC9EB9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Erewele, Omolara O</dc:creator>
  <cp:keywords/>
  <dc:description/>
  <cp:lastModifiedBy>Swisher, Jennifer M</cp:lastModifiedBy>
  <cp:revision>2</cp:revision>
  <dcterms:created xsi:type="dcterms:W3CDTF">2021-12-22T20:11:00Z</dcterms:created>
  <dcterms:modified xsi:type="dcterms:W3CDTF">2021-12-22T20:11:00Z</dcterms:modified>
</cp:coreProperties>
</file>